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6E1" w:rsidRDefault="00FD56E1" w:rsidP="00FD56E1">
      <w:pPr>
        <w:spacing w:after="0" w:line="240" w:lineRule="auto"/>
        <w:jc w:val="right"/>
        <w:rPr>
          <w:rFonts w:ascii="Times New Roman" w:hAnsi="Times New Roman"/>
          <w:color w:val="333333"/>
          <w:sz w:val="24"/>
          <w:szCs w:val="24"/>
        </w:rPr>
      </w:pPr>
      <w:r>
        <w:rPr>
          <w:rFonts w:ascii="Times New Roman" w:hAnsi="Times New Roman"/>
          <w:color w:val="333333"/>
          <w:sz w:val="24"/>
          <w:szCs w:val="24"/>
        </w:rPr>
        <w:t xml:space="preserve">Tradus </w:t>
      </w:r>
      <w:r w:rsidR="00AB5495">
        <w:rPr>
          <w:rFonts w:ascii="Times New Roman" w:hAnsi="Times New Roman"/>
          <w:color w:val="333333"/>
          <w:sz w:val="24"/>
          <w:szCs w:val="24"/>
        </w:rPr>
        <w:t>și</w:t>
      </w:r>
      <w:r>
        <w:rPr>
          <w:rFonts w:ascii="Times New Roman" w:hAnsi="Times New Roman"/>
          <w:color w:val="333333"/>
          <w:sz w:val="24"/>
          <w:szCs w:val="24"/>
        </w:rPr>
        <w:t xml:space="preserve"> revizuit de IER (</w:t>
      </w:r>
      <w:hyperlink r:id="rId4" w:history="1">
        <w:r w:rsidRPr="0026129E">
          <w:rPr>
            <w:rStyle w:val="Hyperlink"/>
            <w:rFonts w:ascii="Times New Roman" w:hAnsi="Times New Roman"/>
            <w:sz w:val="24"/>
            <w:szCs w:val="24"/>
          </w:rPr>
          <w:t>www.ier.ro</w:t>
        </w:r>
      </w:hyperlink>
      <w:r>
        <w:rPr>
          <w:rFonts w:ascii="Times New Roman" w:hAnsi="Times New Roman"/>
          <w:color w:val="333333"/>
          <w:sz w:val="24"/>
          <w:szCs w:val="24"/>
        </w:rPr>
        <w:t>)</w:t>
      </w:r>
    </w:p>
    <w:p w:rsidR="00FD56E1" w:rsidRDefault="00FD56E1" w:rsidP="00FD56E1">
      <w:pPr>
        <w:spacing w:after="0" w:line="240" w:lineRule="auto"/>
        <w:jc w:val="right"/>
        <w:rPr>
          <w:rFonts w:ascii="Times New Roman" w:hAnsi="Times New Roman"/>
          <w:color w:val="333333"/>
          <w:sz w:val="24"/>
          <w:szCs w:val="24"/>
        </w:rPr>
      </w:pPr>
    </w:p>
    <w:p w:rsidR="00FD56E1" w:rsidRDefault="00FD56E1" w:rsidP="000C164F">
      <w:pPr>
        <w:spacing w:after="0" w:line="240" w:lineRule="auto"/>
        <w:rPr>
          <w:rFonts w:ascii="Times New Roman" w:hAnsi="Times New Roman"/>
          <w:color w:val="333333"/>
          <w:sz w:val="24"/>
          <w:szCs w:val="24"/>
        </w:rPr>
      </w:pPr>
    </w:p>
    <w:p w:rsidR="000C164F" w:rsidRPr="000C164F" w:rsidRDefault="000C164F" w:rsidP="000C164F">
      <w:pPr>
        <w:spacing w:after="0"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CM-Public</w:t>
      </w:r>
    </w:p>
    <w:tbl>
      <w:tblPr>
        <w:tblpPr w:vertAnchor="text"/>
        <w:tblW w:w="5000" w:type="pct"/>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146"/>
        <w:gridCol w:w="2147"/>
        <w:gridCol w:w="2920"/>
        <w:gridCol w:w="2147"/>
      </w:tblGrid>
      <w:tr w:rsidR="000C164F" w:rsidRPr="000C164F" w:rsidTr="000C164F">
        <w:trPr>
          <w:trHeight w:val="737"/>
        </w:trPr>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DELEGAȚII MINIȘTRILOR</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C164F" w:rsidRPr="000C164F" w:rsidRDefault="000C164F" w:rsidP="000C164F">
            <w:pPr>
              <w:spacing w:before="100" w:beforeAutospacing="1" w:after="100" w:afterAutospacing="1" w:line="240" w:lineRule="auto"/>
              <w:ind w:left="-108"/>
              <w:jc w:val="center"/>
              <w:rPr>
                <w:rFonts w:ascii="Times New Roman" w:eastAsia="Times New Roman" w:hAnsi="Times New Roman" w:cs="Times New Roman"/>
                <w:color w:val="333333"/>
                <w:sz w:val="24"/>
                <w:szCs w:val="24"/>
              </w:rPr>
            </w:pPr>
            <w:r>
              <w:rPr>
                <w:rFonts w:ascii="Times New Roman" w:hAnsi="Times New Roman"/>
                <w:color w:val="333333"/>
                <w:sz w:val="24"/>
                <w:szCs w:val="24"/>
              </w:rPr>
              <w:t>Decizii</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C164F" w:rsidRPr="000C164F" w:rsidRDefault="000C164F" w:rsidP="000C164F">
            <w:pPr>
              <w:spacing w:before="100" w:beforeAutospacing="1" w:after="100" w:afterAutospacing="1" w:line="240" w:lineRule="auto"/>
              <w:ind w:left="-40"/>
              <w:jc w:val="center"/>
              <w:rPr>
                <w:rFonts w:ascii="Times New Roman" w:eastAsia="Times New Roman" w:hAnsi="Times New Roman" w:cs="Times New Roman"/>
                <w:color w:val="333333"/>
                <w:sz w:val="24"/>
                <w:szCs w:val="24"/>
              </w:rPr>
            </w:pPr>
            <w:r>
              <w:rPr>
                <w:rFonts w:ascii="Times New Roman" w:hAnsi="Times New Roman"/>
                <w:b/>
                <w:bCs/>
                <w:color w:val="333333"/>
                <w:sz w:val="24"/>
                <w:szCs w:val="24"/>
              </w:rPr>
              <w:t>CM/</w:t>
            </w:r>
            <w:proofErr w:type="spellStart"/>
            <w:r>
              <w:rPr>
                <w:rFonts w:ascii="Times New Roman" w:hAnsi="Times New Roman"/>
                <w:b/>
                <w:bCs/>
                <w:color w:val="333333"/>
                <w:sz w:val="24"/>
                <w:szCs w:val="24"/>
              </w:rPr>
              <w:t>Del</w:t>
            </w:r>
            <w:proofErr w:type="spellEnd"/>
            <w:r>
              <w:rPr>
                <w:rFonts w:ascii="Times New Roman" w:hAnsi="Times New Roman"/>
                <w:b/>
                <w:bCs/>
                <w:color w:val="333333"/>
                <w:sz w:val="24"/>
                <w:szCs w:val="24"/>
              </w:rPr>
              <w:t>/Dec(2017)1288/H46-22</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C164F" w:rsidRPr="000C164F" w:rsidRDefault="000C164F" w:rsidP="000C164F">
            <w:pPr>
              <w:spacing w:before="100" w:beforeAutospacing="1" w:after="100" w:afterAutospacing="1" w:line="240" w:lineRule="auto"/>
              <w:jc w:val="right"/>
              <w:rPr>
                <w:rFonts w:ascii="Times New Roman" w:eastAsia="Times New Roman" w:hAnsi="Times New Roman" w:cs="Times New Roman"/>
                <w:color w:val="333333"/>
                <w:sz w:val="24"/>
                <w:szCs w:val="24"/>
              </w:rPr>
            </w:pPr>
            <w:r>
              <w:rPr>
                <w:rFonts w:ascii="Times New Roman" w:hAnsi="Times New Roman"/>
                <w:color w:val="333333"/>
                <w:sz w:val="24"/>
                <w:szCs w:val="24"/>
              </w:rPr>
              <w:t>7 iunie 2017</w:t>
            </w:r>
          </w:p>
        </w:tc>
      </w:tr>
    </w:tbl>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288"/>
      </w:tblGrid>
      <w:tr w:rsidR="000C164F" w:rsidRPr="000C164F" w:rsidTr="000C164F">
        <w:trPr>
          <w:tblCellSpacing w:w="0" w:type="dxa"/>
        </w:trPr>
        <w:tc>
          <w:tcPr>
            <w:tcW w:w="0" w:type="auto"/>
            <w:shd w:val="clear" w:color="auto" w:fill="auto"/>
            <w:tcMar>
              <w:top w:w="0" w:type="dxa"/>
              <w:left w:w="141" w:type="dxa"/>
              <w:bottom w:w="0" w:type="dxa"/>
              <w:right w:w="141" w:type="dxa"/>
            </w:tcMa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bl>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A 1288-a reuniune, 6-7 iunie 2017 (DO)</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333333"/>
          <w:sz w:val="24"/>
          <w:szCs w:val="24"/>
        </w:rPr>
        <w:t> </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Grupul de cauze H46-22 - Asociația „21 decembrie 1989” împotriva României (cererea nr. 33810/07)</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Supravegherea executării hotărârilor Curții Europene</w:t>
      </w:r>
      <w:bookmarkStart w:id="0" w:name="_GoBack"/>
      <w:bookmarkEnd w:id="0"/>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Document de referință:</w:t>
      </w:r>
    </w:p>
    <w:p w:rsidR="000C164F" w:rsidRPr="000C164F" w:rsidRDefault="00AB5495" w:rsidP="000C164F">
      <w:pPr>
        <w:spacing w:before="100" w:beforeAutospacing="1" w:after="100" w:afterAutospacing="1" w:line="240" w:lineRule="auto"/>
        <w:rPr>
          <w:rFonts w:ascii="Times New Roman" w:eastAsia="Times New Roman" w:hAnsi="Times New Roman" w:cs="Times New Roman"/>
          <w:color w:val="333333"/>
          <w:sz w:val="24"/>
          <w:szCs w:val="24"/>
        </w:rPr>
      </w:pPr>
      <w:hyperlink r:id="rId5" w:history="1">
        <w:r w:rsidR="00863420">
          <w:rPr>
            <w:rFonts w:ascii="Times New Roman" w:hAnsi="Times New Roman"/>
            <w:color w:val="428BCA"/>
            <w:sz w:val="24"/>
            <w:szCs w:val="24"/>
          </w:rPr>
          <w:t>CM/Note/1288/H46-22</w:t>
        </w:r>
      </w:hyperlink>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w:t>
      </w:r>
      <w:r>
        <w:rPr>
          <w:rFonts w:ascii="Times New Roman" w:hAnsi="Times New Roman"/>
          <w:i/>
          <w:iCs/>
          <w:color w:val="333333"/>
          <w:sz w:val="24"/>
          <w:szCs w:val="24"/>
        </w:rPr>
        <w:t>Decizii</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Delegații</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333333"/>
          <w:sz w:val="24"/>
          <w:szCs w:val="24"/>
        </w:rPr>
        <w:t>Cu privire la măsurile individuale</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1.         având în vedere informațiile primite, potrivit cărora autoritatea competentă în materie de securitate națională nu deține date cu caracter personal referitoare la domnul </w:t>
      </w:r>
      <w:proofErr w:type="spellStart"/>
      <w:r>
        <w:rPr>
          <w:rFonts w:ascii="Times New Roman" w:hAnsi="Times New Roman"/>
          <w:color w:val="333333"/>
          <w:sz w:val="24"/>
          <w:szCs w:val="24"/>
        </w:rPr>
        <w:t>Mărieș</w:t>
      </w:r>
      <w:proofErr w:type="spellEnd"/>
      <w:r>
        <w:rPr>
          <w:rFonts w:ascii="Times New Roman" w:hAnsi="Times New Roman"/>
          <w:color w:val="333333"/>
          <w:sz w:val="24"/>
          <w:szCs w:val="24"/>
        </w:rPr>
        <w:t>, au considerat că nu este necesară adoptarea unor măsuri individuale în această privință;</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2.         au luat act cu satisfacție de progresele înregistrate în cadrul anchetei efectuate cu privire la represiunea manifestațiilor din 13-15 iunie 1990 și au încurajat ferm autoritățile să o finalizeze conform calendarului planificat; au solicitat autorităților să își intensifice eforturile și să utilizeze toate mijloacele pe care le au la dispoziție pentru a încheia celelalte anchete în litigiu în aceste hotărâri; </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i/>
          <w:iCs/>
          <w:color w:val="333333"/>
          <w:sz w:val="24"/>
          <w:szCs w:val="24"/>
        </w:rPr>
        <w:t>Cu privire la măsurile generale:</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3.         au luat act cu satisfacție de măsurile adoptate cu scopul de a garanta independența statutară a procurorilor militari, prevăzută de lege, accesul judecătorilor și procurorilor la informații clasificate și cooperarea autorităților statului și a altor entități juridice cu organele de urmărire penală în cadrul anchetelor penale;</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4.         având în vedere că aceste măsuri sunt de natură să împiedice deficiențe similare celor constatate de Curtea Europeană în privința acestor anchete, au decis să încheie examinarea cu privire la măsurile generale în aceste cauze;</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lastRenderedPageBreak/>
        <w:t>5.         au solicitat autorităților să informeze periodic Comitetul cu privire la progresele înregistrate în ceea ce privește anchetele și au convenit să reia examinarea acestor cauze în cadrul reuniunii acestora, consacrată drepturilor omului, din iunie 2018, cel târziu.</w:t>
      </w:r>
    </w:p>
    <w:p w:rsidR="000C164F" w:rsidRPr="000C164F" w:rsidRDefault="000C164F" w:rsidP="000C164F">
      <w:pPr>
        <w:spacing w:after="0"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CM-Public</w:t>
      </w:r>
    </w:p>
    <w:p w:rsidR="000C164F" w:rsidRPr="000C164F" w:rsidRDefault="000C164F" w:rsidP="000C164F">
      <w:pPr>
        <w:framePr w:w="9871" w:wrap="around" w:vAnchor="text" w:hAnchor="text"/>
        <w:tabs>
          <w:tab w:val="left" w:pos="2340"/>
          <w:tab w:val="left" w:pos="3240"/>
          <w:tab w:val="left" w:pos="5760"/>
        </w:tabs>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rPr>
        <w:t xml:space="preserve">Notele </w:t>
      </w:r>
      <w:r>
        <w:rPr>
          <w:rFonts w:ascii="Times New Roman" w:hAnsi="Times New Roman"/>
          <w:b/>
          <w:color w:val="333333"/>
        </w:rPr>
        <w:t>DELEGAȚILOR MINIȘTRILOR</w:t>
      </w:r>
      <w:r>
        <w:rPr>
          <w:rFonts w:ascii="Times New Roman" w:hAnsi="Times New Roman"/>
          <w:color w:val="333333"/>
        </w:rPr>
        <w:t xml:space="preserve"> privind ordinea de zi </w:t>
      </w:r>
      <w:r>
        <w:rPr>
          <w:rFonts w:ascii="Times New Roman" w:hAnsi="Times New Roman"/>
          <w:b/>
          <w:color w:val="333333"/>
        </w:rPr>
        <w:t>CM/Note/1288/H46-22</w:t>
      </w:r>
      <w:r>
        <w:rPr>
          <w:rFonts w:ascii="Times New Roman" w:hAnsi="Times New Roman"/>
          <w:color w:val="333333"/>
        </w:rPr>
        <w:t xml:space="preserve"> din 7 iunie 2017</w:t>
      </w:r>
    </w:p>
    <w:p w:rsidR="000C164F" w:rsidRPr="000C164F" w:rsidRDefault="000C164F" w:rsidP="000C164F">
      <w:pPr>
        <w:framePr w:w="9871" w:wrap="around" w:vAnchor="text" w:hAnchor="text"/>
        <w:tabs>
          <w:tab w:val="left" w:pos="2340"/>
          <w:tab w:val="left" w:pos="4680"/>
          <w:tab w:val="left" w:pos="7020"/>
        </w:tabs>
        <w:spacing w:before="100" w:beforeAutospacing="1" w:after="100" w:afterAutospacing="1" w:line="240" w:lineRule="auto"/>
        <w:rPr>
          <w:rFonts w:ascii="Times New Roman" w:eastAsia="Times New Roman" w:hAnsi="Times New Roman" w:cs="Times New Roman"/>
          <w:color w:val="333333"/>
          <w:sz w:val="24"/>
          <w:szCs w:val="24"/>
        </w:rPr>
      </w:pP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288"/>
      </w:tblGrid>
      <w:tr w:rsidR="000C164F" w:rsidRPr="000C164F" w:rsidTr="000C164F">
        <w:trPr>
          <w:tblCellSpacing w:w="0" w:type="dxa"/>
        </w:trPr>
        <w:tc>
          <w:tcPr>
            <w:tcW w:w="0" w:type="auto"/>
            <w:shd w:val="clear" w:color="auto" w:fill="auto"/>
            <w:tcMar>
              <w:top w:w="0" w:type="dxa"/>
              <w:left w:w="141" w:type="dxa"/>
              <w:bottom w:w="0" w:type="dxa"/>
              <w:right w:w="141" w:type="dxa"/>
            </w:tcMa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bl>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A 1288-a reuniune, 6-7 iunie 2017 (DH)</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Drepturile omului</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Grupul H46-22 Asociația „21 Decembrie 1989” împotriva României (cererea nr. 33810/07)</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Supravegherea executării hotărârilor Curții Europene</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Documente de referință</w:t>
      </w:r>
    </w:p>
    <w:p w:rsidR="000C164F" w:rsidRPr="000C164F" w:rsidRDefault="00AB5495" w:rsidP="000C164F">
      <w:pPr>
        <w:spacing w:before="100" w:beforeAutospacing="1" w:after="100" w:afterAutospacing="1" w:line="240" w:lineRule="auto"/>
        <w:rPr>
          <w:rFonts w:ascii="Times New Roman" w:eastAsia="Times New Roman" w:hAnsi="Times New Roman" w:cs="Times New Roman"/>
          <w:color w:val="333333"/>
          <w:sz w:val="24"/>
          <w:szCs w:val="24"/>
        </w:rPr>
      </w:pPr>
      <w:hyperlink r:id="rId6" w:tooltip="1288e réunion (juin 2017) (DH) - Plan d’action révisé (31/03/2017) - Communication de la Roumanie concernant l’affaire ASSOCIATION " w:history="1">
        <w:r w:rsidR="00863420">
          <w:rPr>
            <w:rFonts w:ascii="Times New Roman" w:hAnsi="Times New Roman"/>
            <w:color w:val="428BCA"/>
            <w:sz w:val="24"/>
            <w:szCs w:val="24"/>
          </w:rPr>
          <w:t>DH-DD(2017)366-rev</w:t>
        </w:r>
      </w:hyperlink>
      <w:r w:rsidR="00863420">
        <w:rPr>
          <w:rFonts w:ascii="Times New Roman" w:hAnsi="Times New Roman"/>
          <w:color w:val="333333"/>
          <w:sz w:val="24"/>
          <w:szCs w:val="24"/>
        </w:rPr>
        <w:t xml:space="preserve">, </w:t>
      </w:r>
      <w:hyperlink r:id="rId7" w:tooltip="1201DH meeting/réunion - 3-5 June/juin 2014 - Decision cases No. 14 / Décision affaires n° 14 - Association 21 décembre 1989 against Romania / Association 21 décembre 1989 contre Roumanie (33810/07)" w:history="1">
        <w:r w:rsidR="00863420">
          <w:rPr>
            <w:rFonts w:ascii="Times New Roman" w:hAnsi="Times New Roman"/>
            <w:color w:val="428BCA"/>
            <w:sz w:val="24"/>
            <w:szCs w:val="24"/>
          </w:rPr>
          <w:t>CM/</w:t>
        </w:r>
        <w:proofErr w:type="spellStart"/>
        <w:r w:rsidR="00863420">
          <w:rPr>
            <w:rFonts w:ascii="Times New Roman" w:hAnsi="Times New Roman"/>
            <w:color w:val="428BCA"/>
            <w:sz w:val="24"/>
            <w:szCs w:val="24"/>
          </w:rPr>
          <w:t>Del</w:t>
        </w:r>
        <w:proofErr w:type="spellEnd"/>
        <w:r w:rsidR="00863420">
          <w:rPr>
            <w:rFonts w:ascii="Times New Roman" w:hAnsi="Times New Roman"/>
            <w:color w:val="428BCA"/>
            <w:sz w:val="24"/>
            <w:szCs w:val="24"/>
          </w:rPr>
          <w:t>/Dec(2014)1201/14</w:t>
        </w:r>
      </w:hyperlink>
    </w:p>
    <w:tbl>
      <w:tblPr>
        <w:tblW w:w="975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259"/>
        <w:gridCol w:w="3476"/>
        <w:gridCol w:w="1310"/>
        <w:gridCol w:w="1310"/>
        <w:gridCol w:w="2395"/>
      </w:tblGrid>
      <w:tr w:rsidR="000C164F" w:rsidRPr="000C164F" w:rsidTr="000C164F">
        <w:tc>
          <w:tcPr>
            <w:tcW w:w="11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Cererea</w:t>
            </w:r>
          </w:p>
        </w:tc>
        <w:tc>
          <w:tcPr>
            <w:tcW w:w="353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Cauza</w:t>
            </w:r>
          </w:p>
        </w:tc>
        <w:tc>
          <w:tcPr>
            <w:tcW w:w="126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Hotărârea din</w:t>
            </w:r>
          </w:p>
        </w:tc>
        <w:tc>
          <w:tcPr>
            <w:tcW w:w="13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Rămasă definitivă la</w:t>
            </w:r>
          </w:p>
        </w:tc>
        <w:tc>
          <w:tcPr>
            <w:tcW w:w="24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Indicator de clasificare</w:t>
            </w: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33810/07+</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ASOCIAȚIA „21 DECEMBRE 1989”</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24/05/2011</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28/11/2011</w:t>
            </w:r>
          </w:p>
        </w:tc>
        <w:tc>
          <w:tcPr>
            <w:tcW w:w="2448"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Problemă complexă</w:t>
            </w: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12442/04</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CRĂINICEANU ȘI FRUMUȘANU </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24/04/2012</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24/07/2012</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10865/09 +</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MOCANU ȘI ALȚII</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17/09/2014</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Marea Cameră</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56861/08 +</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BOȘNIGEANU ȘI ALȚII</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04/11/2014</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15/11/2016</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04/02/2015</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15/02/2017</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34160/09</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DOBRE ȘI ALȚII</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17/03/2015</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17/06/2015</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56838/08 +</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ALECU ȘI ALȚII</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27/01/2015</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15/11/2016</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01/06/2015</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15/02/2017</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35279/10 +</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MELNICHUK ȘI ALȚII</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05/05/2015</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05/08/2015</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15052/09</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CĂTĂLINA FILIP</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21/04/2015</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19/10/2015</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56842/08 +</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ALEXANDRESCU ȘI ALȚII</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24/11/2015</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24/02/2016</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24093/14 +</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ELENA APOSTOL ȘI ALȚI ȘI ALTE 16 CERERI</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23/02/2016</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23/05/2016</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r w:rsidR="000C164F" w:rsidRPr="000C164F" w:rsidTr="000C164F">
        <w:tc>
          <w:tcPr>
            <w:tcW w:w="11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lastRenderedPageBreak/>
              <w:t>43626/13 +</w:t>
            </w:r>
          </w:p>
        </w:tc>
        <w:tc>
          <w:tcPr>
            <w:tcW w:w="3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ECATERINA MIREA ȘI ALȚII</w:t>
            </w:r>
          </w:p>
        </w:tc>
        <w:tc>
          <w:tcPr>
            <w:tcW w:w="12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12/04/2016</w:t>
            </w:r>
          </w:p>
        </w:tc>
        <w:tc>
          <w:tcPr>
            <w:tcW w:w="13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17/10/2016</w:t>
            </w:r>
          </w:p>
        </w:tc>
        <w:tc>
          <w:tcPr>
            <w:tcW w:w="0" w:type="auto"/>
            <w:vMerge/>
            <w:tcBorders>
              <w:top w:val="nil"/>
              <w:left w:val="nil"/>
              <w:bottom w:val="single" w:sz="8" w:space="0" w:color="auto"/>
              <w:right w:val="single" w:sz="8" w:space="0" w:color="auto"/>
            </w:tcBorders>
            <w:shd w:val="clear" w:color="auto" w:fill="auto"/>
            <w:vAlign w:val="center"/>
            <w:hideMark/>
          </w:tcPr>
          <w:p w:rsidR="000C164F" w:rsidRPr="000C164F" w:rsidRDefault="000C164F" w:rsidP="000C164F">
            <w:pPr>
              <w:spacing w:after="0" w:line="240" w:lineRule="auto"/>
              <w:rPr>
                <w:rFonts w:ascii="Times New Roman" w:eastAsia="Times New Roman" w:hAnsi="Times New Roman" w:cs="Times New Roman"/>
                <w:color w:val="333333"/>
                <w:sz w:val="24"/>
                <w:szCs w:val="24"/>
              </w:rPr>
            </w:pPr>
          </w:p>
        </w:tc>
      </w:tr>
    </w:tbl>
    <w:p w:rsidR="000C164F" w:rsidRPr="000C164F" w:rsidRDefault="000C164F" w:rsidP="000C164F">
      <w:pPr>
        <w:spacing w:before="100" w:beforeAutospacing="1" w:after="100" w:afterAutospacing="1" w:line="240" w:lineRule="auto"/>
        <w:rPr>
          <w:rFonts w:ascii="Times New Roman" w:eastAsia="Times New Roman" w:hAnsi="Times New Roman" w:cs="Times New Roman"/>
          <w:b/>
          <w:bCs/>
          <w:color w:val="333333"/>
          <w:sz w:val="24"/>
          <w:szCs w:val="24"/>
        </w:rPr>
      </w:pPr>
    </w:p>
    <w:p w:rsidR="000C164F" w:rsidRPr="000C164F" w:rsidRDefault="000C164F" w:rsidP="000C164F">
      <w:pPr>
        <w:spacing w:before="100" w:beforeAutospacing="1" w:after="100" w:afterAutospacing="1" w:line="240" w:lineRule="auto"/>
        <w:rPr>
          <w:rFonts w:ascii="Times New Roman" w:eastAsia="Times New Roman" w:hAnsi="Times New Roman" w:cs="Times New Roman"/>
          <w:b/>
          <w:bCs/>
          <w:color w:val="333333"/>
          <w:sz w:val="24"/>
          <w:szCs w:val="24"/>
        </w:rPr>
      </w:pP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Descrierea cauzelor</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Aceste cauze se referă la anchetele penale desfășurate de la începutul anilor 1990 cu privire la represiunea violentă a manifestațiilor antiguvernamentale care au însoțit căderea regimului comunist din România, și anume:</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utilizarea forței letale, supunerea la rele tratamente și lipsirea de libertate a mii de protestatari în decembrie 1989, înaintea și în urma răsturnării ultimului șef de stat comunist (</w:t>
      </w:r>
      <w:r>
        <w:rPr>
          <w:rFonts w:ascii="Times New Roman" w:hAnsi="Times New Roman"/>
          <w:i/>
          <w:color w:val="333333"/>
          <w:sz w:val="24"/>
          <w:szCs w:val="24"/>
        </w:rPr>
        <w:t>Asociația „21 decembrie 1989” și alții</w:t>
      </w:r>
      <w:r>
        <w:rPr>
          <w:rFonts w:ascii="Times New Roman" w:hAnsi="Times New Roman"/>
          <w:color w:val="333333"/>
          <w:sz w:val="24"/>
          <w:szCs w:val="24"/>
        </w:rPr>
        <w:t>, precum și opt cauze similare);</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utilizarea forței letale, supunerea la rele tratamente și lipsirea de libertate a peste o mie de protestatari de către forțele de securitate sau grupuri armate afiliate, precum și devastarea sediului asociației reclamante, evenimente care au avut loc în perioada 13-15 iunie 1990 la București (</w:t>
      </w:r>
      <w:r>
        <w:rPr>
          <w:rFonts w:ascii="Times New Roman" w:hAnsi="Times New Roman"/>
          <w:i/>
          <w:color w:val="333333"/>
          <w:sz w:val="24"/>
          <w:szCs w:val="24"/>
        </w:rPr>
        <w:t>Mocanu și alții</w:t>
      </w:r>
      <w:r>
        <w:rPr>
          <w:rFonts w:ascii="Times New Roman" w:hAnsi="Times New Roman"/>
          <w:color w:val="333333"/>
          <w:sz w:val="24"/>
          <w:szCs w:val="24"/>
        </w:rPr>
        <w:t>);</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decesul rudelor reclamanților, prin împușcare, la 25 septembrie 1991, în timpul unor revolte care au avut loc în fața sediului Guvernului (</w:t>
      </w:r>
      <w:proofErr w:type="spellStart"/>
      <w:r>
        <w:rPr>
          <w:rFonts w:ascii="Times New Roman" w:hAnsi="Times New Roman"/>
          <w:i/>
          <w:color w:val="333333"/>
          <w:sz w:val="24"/>
          <w:szCs w:val="24"/>
        </w:rPr>
        <w:t>Crăiniceanu</w:t>
      </w:r>
      <w:proofErr w:type="spellEnd"/>
      <w:r>
        <w:rPr>
          <w:rFonts w:ascii="Times New Roman" w:hAnsi="Times New Roman"/>
          <w:i/>
          <w:color w:val="333333"/>
          <w:sz w:val="24"/>
          <w:szCs w:val="24"/>
        </w:rPr>
        <w:t xml:space="preserve"> și </w:t>
      </w:r>
      <w:proofErr w:type="spellStart"/>
      <w:r>
        <w:rPr>
          <w:rFonts w:ascii="Times New Roman" w:hAnsi="Times New Roman"/>
          <w:i/>
          <w:color w:val="333333"/>
          <w:sz w:val="24"/>
          <w:szCs w:val="24"/>
        </w:rPr>
        <w:t>Frumușanu</w:t>
      </w:r>
      <w:proofErr w:type="spellEnd"/>
      <w:r>
        <w:rPr>
          <w:rFonts w:ascii="Times New Roman" w:hAnsi="Times New Roman"/>
          <w:color w:val="333333"/>
          <w:sz w:val="24"/>
          <w:szCs w:val="24"/>
        </w:rPr>
        <w:t>).</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În ceea ce privește aceste anchete, Curtea Europeană a constatat încălcări procedurale ale art. 2 și 3 și/sau încălcări ale art. 6 § 1 (durata procedurilor), din următoarele cauze:</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faptul că, în diferite etape, acestea au fost efectuate de procurori militari care erau supuși principiului subordonării în cadrul ierarhiei militare, la fel ca majoritatea inculpaților, printre care se numărau înalte oficialități militare care erau încă în exercițiu (în toate cauzele);</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întârzieri excesive și deficiențe în ceea ce privește obținerea de probe (în toate cauzele);</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lipsa de cooperare cu anchetatorii a autorităților implicate în represiune sau distrugerea probelor aflate în posesia lor (</w:t>
      </w:r>
      <w:proofErr w:type="spellStart"/>
      <w:r>
        <w:rPr>
          <w:rFonts w:ascii="Times New Roman" w:hAnsi="Times New Roman"/>
          <w:i/>
          <w:iCs/>
          <w:color w:val="333333"/>
          <w:sz w:val="24"/>
          <w:szCs w:val="24"/>
        </w:rPr>
        <w:t>Crăiniceanu</w:t>
      </w:r>
      <w:proofErr w:type="spellEnd"/>
      <w:r>
        <w:rPr>
          <w:rFonts w:ascii="Times New Roman" w:hAnsi="Times New Roman"/>
          <w:i/>
          <w:iCs/>
          <w:color w:val="333333"/>
          <w:sz w:val="24"/>
          <w:szCs w:val="24"/>
        </w:rPr>
        <w:t xml:space="preserve"> și </w:t>
      </w:r>
      <w:proofErr w:type="spellStart"/>
      <w:r>
        <w:rPr>
          <w:rFonts w:ascii="Times New Roman" w:hAnsi="Times New Roman"/>
          <w:i/>
          <w:iCs/>
          <w:color w:val="333333"/>
          <w:sz w:val="24"/>
          <w:szCs w:val="24"/>
        </w:rPr>
        <w:t>Frumuşanu</w:t>
      </w:r>
      <w:proofErr w:type="spellEnd"/>
      <w:r>
        <w:rPr>
          <w:rFonts w:ascii="Times New Roman" w:hAnsi="Times New Roman"/>
          <w:color w:val="333333"/>
          <w:sz w:val="24"/>
          <w:szCs w:val="24"/>
        </w:rPr>
        <w:t>), precum și clasificarea ca secrete, până în 2010, a unor informații care erau esențiale pentru anchetă, fără o justificare corespunzătoare (</w:t>
      </w:r>
      <w:r>
        <w:rPr>
          <w:rFonts w:ascii="Times New Roman" w:hAnsi="Times New Roman"/>
          <w:i/>
          <w:color w:val="333333"/>
          <w:sz w:val="24"/>
          <w:szCs w:val="24"/>
        </w:rPr>
        <w:t>Asociația „21 Decembrie 1989” și alții</w:t>
      </w:r>
      <w:r>
        <w:rPr>
          <w:rFonts w:ascii="Times New Roman" w:hAnsi="Times New Roman"/>
          <w:color w:val="333333"/>
          <w:sz w:val="24"/>
          <w:szCs w:val="24"/>
        </w:rPr>
        <w:t>);</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faptul că anchetatorii nu au asigurat în mod adecvat controlul public și protejarea intereselor rudelor apropiate ale victimelor de a participa la anchetă (</w:t>
      </w:r>
      <w:r>
        <w:rPr>
          <w:rFonts w:ascii="Times New Roman" w:hAnsi="Times New Roman"/>
          <w:i/>
          <w:color w:val="333333"/>
          <w:sz w:val="24"/>
          <w:szCs w:val="24"/>
        </w:rPr>
        <w:t>Asociația „21 Decembrie 1989” și alții și Mocanu și alții</w:t>
      </w:r>
      <w:r>
        <w:rPr>
          <w:rFonts w:ascii="Times New Roman" w:hAnsi="Times New Roman"/>
          <w:color w:val="333333"/>
          <w:sz w:val="24"/>
          <w:szCs w:val="24"/>
        </w:rPr>
        <w:t>);</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faptul că o parte a anchetei privind relele tratamente denunțate de unul dintre reclamanți (domnul Stoica) s-a încheiat în 2011, prin intervenția termenului legal de prescripție (</w:t>
      </w:r>
      <w:r>
        <w:rPr>
          <w:rFonts w:ascii="Times New Roman" w:hAnsi="Times New Roman"/>
          <w:i/>
          <w:color w:val="333333"/>
          <w:sz w:val="24"/>
          <w:szCs w:val="24"/>
        </w:rPr>
        <w:t>Mocanu și alții</w:t>
      </w:r>
      <w:r>
        <w:rPr>
          <w:rFonts w:ascii="Times New Roman" w:hAnsi="Times New Roman"/>
          <w:color w:val="333333"/>
          <w:sz w:val="24"/>
          <w:szCs w:val="24"/>
        </w:rPr>
        <w:t>).</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lastRenderedPageBreak/>
        <w:t>În temeiul art. 46 din Convenție, Curtea a indicat că România are obligația „să pună capăt situației constatate în speță, considerată de aceasta ca fiind contrară Convenției, în ceea ce privește dreptul a numeroase persoane afectate [...] la o anchetă efectivă, care să nu se încheie prin intervenția prescripției răspunderii penale, ținând seama, de asemenea, de importanta pentru societatea românească de a cunoaște adevărul cu privire la evenimentele din decembrie 1989” (pct. 194).</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Cauza </w:t>
      </w:r>
      <w:r>
        <w:rPr>
          <w:rFonts w:ascii="Times New Roman" w:hAnsi="Times New Roman"/>
          <w:i/>
          <w:iCs/>
          <w:color w:val="333333"/>
          <w:sz w:val="24"/>
          <w:szCs w:val="24"/>
        </w:rPr>
        <w:t>Asociația „21 Decembrie 1989” și alții</w:t>
      </w:r>
      <w:r>
        <w:rPr>
          <w:rFonts w:ascii="Times New Roman" w:hAnsi="Times New Roman"/>
          <w:color w:val="333333"/>
          <w:sz w:val="24"/>
          <w:szCs w:val="24"/>
        </w:rPr>
        <w:t xml:space="preserve"> privește, de asemenea, lipsa de garanții în legislația aplicabilă măsurilor de supraveghere secretă, bazate pe motive de securitate națională (încălcarea art. 8 în privința domnului Teodor </w:t>
      </w:r>
      <w:proofErr w:type="spellStart"/>
      <w:r>
        <w:rPr>
          <w:rFonts w:ascii="Times New Roman" w:hAnsi="Times New Roman"/>
          <w:color w:val="333333"/>
          <w:sz w:val="24"/>
          <w:szCs w:val="24"/>
        </w:rPr>
        <w:t>Mărieş</w:t>
      </w:r>
      <w:proofErr w:type="spellEnd"/>
      <w:r>
        <w:rPr>
          <w:rFonts w:ascii="Times New Roman" w:hAnsi="Times New Roman"/>
          <w:color w:val="333333"/>
          <w:sz w:val="24"/>
          <w:szCs w:val="24"/>
        </w:rPr>
        <w:t>).</w:t>
      </w:r>
      <w:hyperlink r:id="rId8" w:anchor="_ftn1" w:history="1">
        <w:r>
          <w:rPr>
            <w:rFonts w:ascii="Times New Roman" w:hAnsi="Times New Roman"/>
            <w:color w:val="428BCA"/>
            <w:sz w:val="24"/>
            <w:szCs w:val="24"/>
          </w:rPr>
          <w:t>[1]</w:t>
        </w:r>
      </w:hyperlink>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Stadiul executării</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bookmarkStart w:id="1" w:name="DebateReasonEnglish"/>
      <w:bookmarkEnd w:id="1"/>
      <w:r>
        <w:rPr>
          <w:rFonts w:ascii="Times New Roman" w:hAnsi="Times New Roman"/>
          <w:color w:val="333333"/>
          <w:sz w:val="24"/>
          <w:szCs w:val="24"/>
        </w:rPr>
        <w:t>Comitetul a examinat acest grup de cauze, cel mai recent în cadrul celei de-a 1201-a reuniuni (iunie 2014) (DH). De atunci, autoritățile au prezentat cu regularitate informații și au furnizat un plan de acțiune consolidat la 13 martie 2017 (</w:t>
      </w:r>
      <w:hyperlink r:id="rId9" w:tooltip="1288e réunion (juin 2017) (DH) - Plan d’action révisé (31/03/2017) - Communication de la Roumanie concernant l’affaire ASSOCIATION " w:history="1">
        <w:r>
          <w:rPr>
            <w:rFonts w:ascii="Times New Roman" w:hAnsi="Times New Roman"/>
            <w:color w:val="428BCA"/>
            <w:sz w:val="24"/>
            <w:szCs w:val="24"/>
          </w:rPr>
          <w:t>DH-DD(2017)366-rev</w:t>
        </w:r>
      </w:hyperlink>
      <w:r>
        <w:rPr>
          <w:rFonts w:ascii="Times New Roman" w:hAnsi="Times New Roman"/>
          <w:color w:val="333333"/>
          <w:sz w:val="24"/>
          <w:szCs w:val="24"/>
        </w:rPr>
        <w:t xml:space="preserve">). De asemenea, Comitetul a primit mai multe comunicări din partea reclamanților (doamna </w:t>
      </w:r>
      <w:proofErr w:type="spellStart"/>
      <w:r>
        <w:rPr>
          <w:rFonts w:ascii="Times New Roman" w:hAnsi="Times New Roman"/>
          <w:color w:val="333333"/>
          <w:sz w:val="24"/>
          <w:szCs w:val="24"/>
        </w:rPr>
        <w:t>Vlase</w:t>
      </w:r>
      <w:proofErr w:type="spellEnd"/>
      <w:r>
        <w:rPr>
          <w:rFonts w:ascii="Times New Roman" w:hAnsi="Times New Roman"/>
          <w:color w:val="333333"/>
          <w:sz w:val="24"/>
          <w:szCs w:val="24"/>
        </w:rPr>
        <w:t>) și de la Asociația „21 decembrie 1989” cu privire la ancheta în cauza sa. Evoluțiile înregistrate de la ultima examinare pot fi rezumate după cum urmează:</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333333"/>
          <w:sz w:val="24"/>
          <w:szCs w:val="24"/>
          <w:u w:val="single"/>
        </w:rPr>
        <w:t>Măsuri individuale</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333333"/>
          <w:sz w:val="24"/>
          <w:szCs w:val="24"/>
        </w:rPr>
        <w:t>1) Progresele înregistrate în ceea ce privește anchetele (încălcări procedurale ale art. 2 și 3, încălcări ale art. 6 § 1 )</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a) </w:t>
      </w:r>
      <w:r>
        <w:rPr>
          <w:rFonts w:ascii="Times New Roman" w:hAnsi="Times New Roman"/>
          <w:color w:val="333333"/>
          <w:sz w:val="24"/>
          <w:szCs w:val="24"/>
          <w:u w:val="single"/>
        </w:rPr>
        <w:t>Informații furnizate în planul de acțiune din 13 martie 2017</w:t>
      </w:r>
      <w:r>
        <w:rPr>
          <w:rFonts w:ascii="Times New Roman" w:hAnsi="Times New Roman"/>
          <w:color w:val="333333"/>
          <w:sz w:val="24"/>
          <w:szCs w:val="24"/>
        </w:rPr>
        <w:t xml:space="preserve">: Anchetele în cauzele </w:t>
      </w:r>
      <w:r>
        <w:rPr>
          <w:rFonts w:ascii="Times New Roman" w:hAnsi="Times New Roman"/>
          <w:i/>
          <w:color w:val="333333"/>
          <w:sz w:val="24"/>
          <w:szCs w:val="24"/>
        </w:rPr>
        <w:t>Asociația „21 Decembrie 1989” și alții</w:t>
      </w:r>
      <w:r>
        <w:rPr>
          <w:rFonts w:ascii="Times New Roman" w:hAnsi="Times New Roman"/>
          <w:color w:val="333333"/>
          <w:sz w:val="24"/>
          <w:szCs w:val="24"/>
        </w:rPr>
        <w:t xml:space="preserve"> și </w:t>
      </w:r>
      <w:r>
        <w:rPr>
          <w:rFonts w:ascii="Times New Roman" w:hAnsi="Times New Roman"/>
          <w:i/>
          <w:color w:val="333333"/>
          <w:sz w:val="24"/>
          <w:szCs w:val="24"/>
        </w:rPr>
        <w:t>Mocanu și alții</w:t>
      </w:r>
      <w:r>
        <w:rPr>
          <w:rFonts w:ascii="Times New Roman" w:hAnsi="Times New Roman"/>
          <w:color w:val="333333"/>
          <w:sz w:val="24"/>
          <w:szCs w:val="24"/>
        </w:rPr>
        <w:t xml:space="preserve"> sunt efectuate de către Secția Parchetelor Militare din cadrul Parchetului de pe lângă Înalta Curte de Casație și Justiție („Parchetul General”). Publicul este informat periodic cu privire la evoluția acestora prin intermediul unor comunicate de presă publicate pe site-ul web al Ministerului Public. Ancheta în cauza </w:t>
      </w:r>
      <w:proofErr w:type="spellStart"/>
      <w:r>
        <w:rPr>
          <w:rFonts w:ascii="Times New Roman" w:hAnsi="Times New Roman"/>
          <w:i/>
          <w:color w:val="333333"/>
          <w:sz w:val="24"/>
          <w:szCs w:val="24"/>
        </w:rPr>
        <w:t>Crăiniceanu</w:t>
      </w:r>
      <w:proofErr w:type="spellEnd"/>
      <w:r>
        <w:rPr>
          <w:rFonts w:ascii="Times New Roman" w:hAnsi="Times New Roman"/>
          <w:i/>
          <w:color w:val="333333"/>
          <w:sz w:val="24"/>
          <w:szCs w:val="24"/>
        </w:rPr>
        <w:t xml:space="preserve"> și </w:t>
      </w:r>
      <w:proofErr w:type="spellStart"/>
      <w:r>
        <w:rPr>
          <w:rFonts w:ascii="Times New Roman" w:hAnsi="Times New Roman"/>
          <w:i/>
          <w:color w:val="333333"/>
          <w:sz w:val="24"/>
          <w:szCs w:val="24"/>
        </w:rPr>
        <w:t>Frumușanu</w:t>
      </w:r>
      <w:proofErr w:type="spellEnd"/>
      <w:r>
        <w:rPr>
          <w:rFonts w:ascii="Times New Roman" w:hAnsi="Times New Roman"/>
          <w:color w:val="333333"/>
          <w:sz w:val="24"/>
          <w:szCs w:val="24"/>
        </w:rPr>
        <w:t xml:space="preserve"> este efectuată de Parchetul Militar de pe lângă Tribunalul Militar București.</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color w:val="333333"/>
          <w:sz w:val="24"/>
          <w:szCs w:val="24"/>
        </w:rPr>
        <w:t>Asociația „21 Decembrie 1989” și alții, precum și opt cauze similare:</w:t>
      </w:r>
      <w:r>
        <w:rPr>
          <w:rFonts w:ascii="Times New Roman" w:hAnsi="Times New Roman"/>
          <w:color w:val="333333"/>
          <w:sz w:val="24"/>
          <w:szCs w:val="24"/>
        </w:rPr>
        <w:t xml:space="preserve"> În octombrie 2015, Parchetul a dispus încetarea urmăririi penale, pe motiv că mai multe circumstanțe, inclusiv intervenția termenul legal de prescripție, împiedicau adoptarea oricărei noi măsuri. Această decizie a fost anulată de către Prim-adjunctul Procurorului General al României, apoi de către Înalta Curte de Casație și Justiție, care fuseseră sesizați, între timp, de către părțile civile. Aceste autorități au constatat că ancheta efectuată până în acel moment nu stabilise în mod clar faptele, ceea ce le împiedica să verifice dacă încadrarea faptelor și aplicarea termenului de prescripție fuseseră corecte. Prin urmare, ancheta a fost redeschisă și repartizată unei noi echipe formate din patru procurori militari.</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În octombrie 2016, Procurorul general a declarat că finalizarea acestei anchete era una dintre prioritățile mandatului său. În noiembrie 2016, procurorii au definit drept crime împotriva umanității evenimentele care au avut loc după 22 decembrie 1989, când puterea a fost preluată de </w:t>
      </w:r>
      <w:r>
        <w:rPr>
          <w:rFonts w:ascii="Times New Roman" w:hAnsi="Times New Roman"/>
          <w:color w:val="333333"/>
          <w:sz w:val="24"/>
          <w:szCs w:val="24"/>
        </w:rPr>
        <w:lastRenderedPageBreak/>
        <w:t xml:space="preserve">un nou regim politic și militar.  În prezent, aceștia urmează o foaie de parcurs în vederea efectuării actelor de urmărire penală indicate de Prim-adjunctul Procurorului General (pentru detalii, a se vedea </w:t>
      </w:r>
      <w:hyperlink r:id="rId10" w:tooltip="1288e réunion (juin 2017) (DH) - Plan d’action révisé (31/03/2017) - Communication de la Roumanie concernant l’affaire ASSOCIATION " w:history="1">
        <w:r>
          <w:rPr>
            <w:rFonts w:ascii="Times New Roman" w:hAnsi="Times New Roman"/>
            <w:color w:val="428BCA"/>
            <w:sz w:val="24"/>
            <w:szCs w:val="24"/>
          </w:rPr>
          <w:t>DH-DD(2017)366-rev</w:t>
        </w:r>
      </w:hyperlink>
      <w:r>
        <w:rPr>
          <w:rFonts w:ascii="Times New Roman" w:hAnsi="Times New Roman"/>
          <w:color w:val="333333"/>
          <w:sz w:val="24"/>
          <w:szCs w:val="24"/>
        </w:rPr>
        <w:t xml:space="preserve">). Pentru moment, ancheta se desfășoară </w:t>
      </w:r>
      <w:r>
        <w:rPr>
          <w:rFonts w:ascii="Times New Roman" w:hAnsi="Times New Roman"/>
          <w:i/>
          <w:color w:val="333333"/>
          <w:sz w:val="24"/>
          <w:szCs w:val="24"/>
        </w:rPr>
        <w:t>in rem</w:t>
      </w:r>
      <w:r>
        <w:rPr>
          <w:rFonts w:ascii="Times New Roman" w:hAnsi="Times New Roman"/>
          <w:color w:val="333333"/>
          <w:sz w:val="24"/>
          <w:szCs w:val="24"/>
        </w:rPr>
        <w:t xml:space="preserve"> (niciun suspect nu a fost pus sub acuzare în mod oficial).</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333333"/>
          <w:sz w:val="24"/>
          <w:szCs w:val="24"/>
        </w:rPr>
        <w:t>Mocanu și alții</w:t>
      </w:r>
      <w:r>
        <w:rPr>
          <w:rFonts w:ascii="Times New Roman" w:hAnsi="Times New Roman"/>
          <w:color w:val="333333"/>
          <w:sz w:val="24"/>
          <w:szCs w:val="24"/>
        </w:rPr>
        <w:t>: La momentul pronunțării hotărârii, era în curs ancheta față de două persoane pentru participare la infracțiunea de omor deosebit de grav. Ca răspuns la această hotărâre, Procurorul general a decis să redeschidă partea anchetei referitoare la relele tratamente denunțate de reclamantul Stoica și, de asemenea, a anulat deciziile anterioare de încetare a urmăririi penale în privința altor persoane. Ulterior, parchetul a încadrat evenimentele care au avut loc în iunie 1990 drept crime împotriva umanității și a continuat urmărirea penală în consecință. Aceste măsuri au fost confirmate de Înalta Curte de Casație și Justiție.</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La 23 decembrie 2016, parchetul a trimis în judecată 14 persoane pentru crime împotriva umanității, fiind acuzate că au „decis, organizat și coordonat un atac generalizat și sistematic, lansat împotriva unei populații civile [...]”. Ancheta cu privire la aceste persoane continuă; printre ele se numără înalte oficialități civile și militare în funcție la momentul faptelor,</w:t>
      </w:r>
      <w:hyperlink r:id="rId11" w:anchor="https://search.coe.int/cm/Pages/result_details.aspx?ObjectID=090000168070eb98" w:history="1">
        <w:r>
          <w:rPr>
            <w:rFonts w:ascii="Times New Roman" w:hAnsi="Times New Roman"/>
            <w:color w:val="428BCA"/>
            <w:sz w:val="24"/>
            <w:szCs w:val="24"/>
          </w:rPr>
          <w:t>[2]</w:t>
        </w:r>
      </w:hyperlink>
      <w:r>
        <w:rPr>
          <w:rFonts w:ascii="Times New Roman" w:hAnsi="Times New Roman"/>
          <w:color w:val="333333"/>
          <w:sz w:val="24"/>
          <w:szCs w:val="24"/>
        </w:rPr>
        <w:t xml:space="preserve"> și alți 21 de suspecți; parchetul preconizează încheierea anchetei până la finalul lunii iunie 2017.</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333333"/>
          <w:sz w:val="24"/>
          <w:szCs w:val="24"/>
        </w:rPr>
        <w:t xml:space="preserve">Cauza </w:t>
      </w:r>
      <w:proofErr w:type="spellStart"/>
      <w:r>
        <w:rPr>
          <w:rFonts w:ascii="Times New Roman" w:hAnsi="Times New Roman"/>
          <w:i/>
          <w:iCs/>
          <w:color w:val="333333"/>
          <w:sz w:val="24"/>
          <w:szCs w:val="24"/>
        </w:rPr>
        <w:t>Crăiniceanu</w:t>
      </w:r>
      <w:proofErr w:type="spellEnd"/>
      <w:r>
        <w:rPr>
          <w:rFonts w:ascii="Times New Roman" w:hAnsi="Times New Roman"/>
          <w:i/>
          <w:iCs/>
          <w:color w:val="333333"/>
          <w:sz w:val="24"/>
          <w:szCs w:val="24"/>
        </w:rPr>
        <w:t xml:space="preserve"> și </w:t>
      </w:r>
      <w:proofErr w:type="spellStart"/>
      <w:r>
        <w:rPr>
          <w:rFonts w:ascii="Times New Roman" w:hAnsi="Times New Roman"/>
          <w:i/>
          <w:iCs/>
          <w:color w:val="333333"/>
          <w:sz w:val="24"/>
          <w:szCs w:val="24"/>
        </w:rPr>
        <w:t>Frumuşanu</w:t>
      </w:r>
      <w:proofErr w:type="spellEnd"/>
      <w:r>
        <w:rPr>
          <w:rFonts w:ascii="Times New Roman" w:hAnsi="Times New Roman"/>
          <w:color w:val="333333"/>
          <w:sz w:val="24"/>
          <w:szCs w:val="24"/>
        </w:rPr>
        <w:t xml:space="preserve">: Parchetul continuă ancheta în vederea identificării persoanelor responsabile pentru moartea rudelor reclamanților. Având în vedere complexitatea cauzei, trei procurori sunt însărcinați, în prezent, cu examinarea acesteia. Au fost efectuate numeroase acte de urmărire penală începând cu 2014, inclusiv audieri și confruntări între martori. Ca răspuns la solicitările parchetului, autoritățile și organismele care dețin documente și înregistrări video în legătură cu evenimentele din 25 septembrie 1991 le-au predat anchetatorilor. Rudele victimelor au fost informate în permanență cu privire la progresele realizate în cadrul anchetei; cererile lor pentru administrarea de probe au fost admise și acestea au fost în măsură să participe la audierile martorilor. Ancheta nu a condus încă la identificarea persoanelor responsabile, dar se are în vedere efectuarea unor noi acte de urmărire penală (pentru detalii, a se vedea </w:t>
      </w:r>
      <w:hyperlink r:id="rId12" w:tooltip="1288e réunion (juin 2017) (DH) - Plan d’action révisé (31/03/2017) - Communication de la Roumanie concernant l’affaire ASSOCIATION " w:history="1">
        <w:r>
          <w:rPr>
            <w:rFonts w:ascii="Times New Roman" w:hAnsi="Times New Roman"/>
            <w:color w:val="428BCA"/>
            <w:sz w:val="24"/>
            <w:szCs w:val="24"/>
          </w:rPr>
          <w:t>DH-DD(2017)366-rev</w:t>
        </w:r>
      </w:hyperlink>
      <w:r>
        <w:rPr>
          <w:rFonts w:ascii="Times New Roman" w:hAnsi="Times New Roman"/>
          <w:color w:val="333333"/>
          <w:sz w:val="24"/>
          <w:szCs w:val="24"/>
        </w:rPr>
        <w:t>)</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b) </w:t>
      </w:r>
      <w:r>
        <w:rPr>
          <w:rFonts w:ascii="Times New Roman" w:hAnsi="Times New Roman"/>
          <w:color w:val="333333"/>
          <w:sz w:val="24"/>
          <w:szCs w:val="24"/>
          <w:u w:val="single"/>
        </w:rPr>
        <w:t>Informații prezentate în temeiul art. 9</w:t>
      </w:r>
      <w:r>
        <w:rPr>
          <w:rFonts w:ascii="Times New Roman" w:hAnsi="Times New Roman"/>
          <w:color w:val="333333"/>
          <w:sz w:val="24"/>
          <w:szCs w:val="24"/>
        </w:rPr>
        <w:t xml:space="preserve">: Comunicările primite, cel mai recent la 15 februarie 2017, în cauza </w:t>
      </w:r>
      <w:r>
        <w:rPr>
          <w:rFonts w:ascii="Times New Roman" w:hAnsi="Times New Roman"/>
          <w:i/>
          <w:color w:val="333333"/>
          <w:sz w:val="24"/>
          <w:szCs w:val="24"/>
        </w:rPr>
        <w:t>Asociația „21 Decembrie 1989” și alții,</w:t>
      </w:r>
      <w:r>
        <w:rPr>
          <w:rFonts w:ascii="Times New Roman" w:hAnsi="Times New Roman"/>
          <w:color w:val="333333"/>
          <w:sz w:val="24"/>
          <w:szCs w:val="24"/>
        </w:rPr>
        <w:t xml:space="preserve"> au criticat lipsa de progrese în cadrul anchetei.</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333333"/>
          <w:sz w:val="24"/>
          <w:szCs w:val="24"/>
        </w:rPr>
        <w:t>2) Date cu caracter personal colectate ca urmare a măsurilor de supraveghere secretă (încălcarea art. 8 )</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În iunie 2014, Comitetul a solicitat autorităților să precizeze dacă dețin date cu caracter personal cu privire la domnul </w:t>
      </w:r>
      <w:proofErr w:type="spellStart"/>
      <w:r>
        <w:rPr>
          <w:rFonts w:ascii="Times New Roman" w:hAnsi="Times New Roman"/>
          <w:color w:val="333333"/>
          <w:sz w:val="24"/>
          <w:szCs w:val="24"/>
        </w:rPr>
        <w:t>Mărieș</w:t>
      </w:r>
      <w:proofErr w:type="spellEnd"/>
      <w:r>
        <w:rPr>
          <w:rFonts w:ascii="Times New Roman" w:hAnsi="Times New Roman"/>
          <w:color w:val="333333"/>
          <w:sz w:val="24"/>
          <w:szCs w:val="24"/>
        </w:rPr>
        <w:t>, care au fost colectate și stocate în temeiul legilor privind securitatea națională și, în acest caz, să menționeze ce măsuri intenționează să ia în acest sens. Ca răspuns, autoritatea națională competentă în chestiuni legate de securitatea națională a precizat că nu deține astfel de date.</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333333"/>
          <w:sz w:val="24"/>
          <w:szCs w:val="24"/>
          <w:u w:val="single"/>
        </w:rPr>
        <w:t>Măsuri generale</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lastRenderedPageBreak/>
        <w:t>Legea nr. 27 din 20 martie 2012 a eliminat termenul legal de prescripție pentru infracțiunile intenționate urmate de moartea victimei, ceea ce a permis continuarea anchetelor în aceste cauze și după împlinirea termenului de prescripție care a fost aplicat inițial în cazul infracțiunii de omor deosebit de grav. Autoritățile au indicat, de asemenea, faptul că modificările legislative introduse în 2004 au aliniat statutul procurorilor militari cu cel al omologilor lor civili (</w:t>
      </w:r>
      <w:hyperlink r:id="rId13" w:tooltip="Plan d'action révisé - Communication de la Roumanie concernant le groupe d'affaires Association " w:history="1">
        <w:r>
          <w:rPr>
            <w:rFonts w:ascii="Times New Roman" w:hAnsi="Times New Roman"/>
            <w:color w:val="428BCA"/>
            <w:sz w:val="24"/>
            <w:szCs w:val="24"/>
          </w:rPr>
          <w:t>DH-DD(2014)498</w:t>
        </w:r>
      </w:hyperlink>
      <w:r>
        <w:rPr>
          <w:rFonts w:ascii="Times New Roman" w:hAnsi="Times New Roman"/>
          <w:color w:val="333333"/>
          <w:sz w:val="24"/>
          <w:szCs w:val="24"/>
        </w:rPr>
        <w:t xml:space="preserve">). Reamintind că problema eficacității anchetelor care implică forțele de securitate a fost examinată ulterior în cadrul grupului de cauze </w:t>
      </w:r>
      <w:r>
        <w:rPr>
          <w:rFonts w:ascii="Times New Roman" w:hAnsi="Times New Roman"/>
          <w:i/>
          <w:iCs/>
          <w:color w:val="333333"/>
          <w:sz w:val="24"/>
          <w:szCs w:val="24"/>
        </w:rPr>
        <w:t>Barbu Anghelescu (nr. 1,)</w:t>
      </w:r>
      <w:hyperlink r:id="rId14" w:anchor="_ftn3" w:history="1">
        <w:r>
          <w:rPr>
            <w:rFonts w:ascii="Times New Roman" w:hAnsi="Times New Roman"/>
            <w:color w:val="428BCA"/>
            <w:sz w:val="24"/>
            <w:szCs w:val="24"/>
          </w:rPr>
          <w:t>[3]</w:t>
        </w:r>
      </w:hyperlink>
      <w:r>
        <w:rPr>
          <w:rFonts w:ascii="Times New Roman" w:hAnsi="Times New Roman"/>
          <w:color w:val="333333"/>
          <w:sz w:val="24"/>
          <w:szCs w:val="24"/>
        </w:rPr>
        <w:t xml:space="preserve"> și având în vedere caracterul special al cercetărilor efectuate în prezentele cauze, aceștia au considerat că nu era necesar să fie adoptate măsuri generale suplimentare.</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În iunie 2014, Comitetul a solicitat o evaluare mai detaliată din partea autorităților cu privire la problema independenței procurorilor militari și cu privire la măsurile care ar putea fi necesare pentru a garanta cooperarea cu anchetatorii a organismelor care dețin informații relevante.</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În acest sens, planul de acțiune prezentat la 13 martie 2017 indică următoarele:</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În ceea ce privește</w:t>
      </w:r>
      <w:r>
        <w:rPr>
          <w:rFonts w:ascii="Times New Roman" w:hAnsi="Times New Roman"/>
          <w:i/>
          <w:color w:val="333333"/>
          <w:sz w:val="24"/>
          <w:szCs w:val="24"/>
        </w:rPr>
        <w:t xml:space="preserve"> independența legală</w:t>
      </w:r>
      <w:r>
        <w:rPr>
          <w:rFonts w:ascii="Times New Roman" w:hAnsi="Times New Roman"/>
          <w:color w:val="333333"/>
          <w:sz w:val="24"/>
          <w:szCs w:val="24"/>
        </w:rPr>
        <w:t xml:space="preserve"> a procurorilor militari, Curtea Europeană a hotărât recent că noua lege a instituit mecanisme transparente pentru numirea lor în funcție și stabilitatea funcției ocupate. În plus, aceștia trebuie să respecte aceleași obligații profesionale și au dreptul la o protecție similară împotriva ingerințelor din exterior ca și omologii lor civili. Curtea s-a declarat satisfăcută de faptul că aceste modificări par să ofere garanții suficiente în ceea ce privește independența lor (</w:t>
      </w:r>
      <w:r>
        <w:rPr>
          <w:rFonts w:ascii="Times New Roman" w:hAnsi="Times New Roman"/>
          <w:i/>
          <w:color w:val="333333"/>
          <w:sz w:val="24"/>
          <w:szCs w:val="24"/>
        </w:rPr>
        <w:t>Elena Apostol și alții</w:t>
      </w:r>
      <w:r>
        <w:rPr>
          <w:rFonts w:ascii="Times New Roman" w:hAnsi="Times New Roman"/>
          <w:color w:val="333333"/>
          <w:sz w:val="24"/>
          <w:szCs w:val="24"/>
        </w:rPr>
        <w:t>, hotărâre rămasă definitivă la 23 mai 2016).</w:t>
      </w:r>
    </w:p>
    <w:p w:rsid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În ceea ce privește </w:t>
      </w:r>
      <w:r>
        <w:rPr>
          <w:rFonts w:ascii="Times New Roman" w:hAnsi="Times New Roman"/>
          <w:i/>
          <w:color w:val="333333"/>
          <w:sz w:val="24"/>
          <w:szCs w:val="24"/>
        </w:rPr>
        <w:t>cooperarea cu anchetatorii</w:t>
      </w:r>
      <w:r>
        <w:rPr>
          <w:rFonts w:ascii="Times New Roman" w:hAnsi="Times New Roman"/>
          <w:color w:val="333333"/>
          <w:sz w:val="24"/>
          <w:szCs w:val="24"/>
        </w:rPr>
        <w:t>, noul Cod penal și noul Cod de procedură penală, în vigoare de la 1 februarie 2014, au pus la dispoziția anchetatorilor mijloace pentru depășirea unor astfel de dificultăți. Prin urmare, Codul penal incriminează refuzul oricărei persoane de a preda organelor de urmărire penală informații, obiecte sau documentele aflate în posesia lor, care sunt solicitate în contextul unei anchete penale. În aceleași circumstanțe, Codul de procedură penală permite organelor de urmărire penală să impună o amendă sau să efectueze o percheziție la sediul organismului care refuză să coopereze. În plus, începând cu 2014, modificările aduse legii privind informațiile clasificate au asigurat accesul judecătorilor și procurorilor la astfel de informații fără o autorizație de securitate prealabilă.</w:t>
      </w:r>
    </w:p>
    <w:p w:rsidR="000C164F" w:rsidRPr="000C164F" w:rsidRDefault="000C164F" w:rsidP="000C164F">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Analiza efectuată de Secretariat</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 </w:t>
      </w:r>
      <w:r>
        <w:rPr>
          <w:rFonts w:ascii="Times New Roman" w:hAnsi="Times New Roman"/>
          <w:i/>
          <w:color w:val="333333"/>
          <w:sz w:val="24"/>
          <w:szCs w:val="24"/>
        </w:rPr>
        <w:t>Cu privire la măsurile individuale</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i/>
          <w:iCs/>
          <w:color w:val="333333"/>
          <w:sz w:val="24"/>
          <w:szCs w:val="24"/>
        </w:rPr>
        <w:t>1) Încălcarea procedurală a art. 2 și 3; încălcarea art. 6 § 1;</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u w:val="single"/>
        </w:rPr>
        <w:t>Anchetele efectuate cu privire la represiunea manifestațiilor din decembrie 1989 și iunie 1990</w:t>
      </w:r>
      <w:r>
        <w:rPr>
          <w:rFonts w:ascii="Times New Roman" w:hAnsi="Times New Roman"/>
          <w:color w:val="333333"/>
          <w:sz w:val="24"/>
          <w:szCs w:val="24"/>
        </w:rPr>
        <w:t>: Informațiile furnizate cu privire la etapele mai recente ale acestor cercetări arată că autoritățile au depus eforturi semnificative și au alocat resurse considerabile pentru a remedia deficiențele identificate de Curte și pentru a asigura eficacitatea acestora.</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Astfel, au fost efectuate numeroase acte de urmărire penală, iar autoritățile au asigurat participarea la anchetă a victimelor sau a rudelor acestora, precum și controlul public. Deciziile recente de a defini </w:t>
      </w:r>
      <w:r>
        <w:rPr>
          <w:rFonts w:ascii="Times New Roman" w:hAnsi="Times New Roman"/>
          <w:color w:val="333333"/>
          <w:sz w:val="24"/>
          <w:szCs w:val="24"/>
        </w:rPr>
        <w:lastRenderedPageBreak/>
        <w:t xml:space="preserve">evenimentele care au avut loc ulterior datei de 22 decembrie 1989 și în iunie 1990 drept crime împotriva umanității și de a pune sub acuzare foști demnitari civili și militari, indică faptul că nu mai există motive de îngrijorare cu privire la independența procurorilor însărcinați cu aceste anchete (cu privire la acest aspect, a se vedea </w:t>
      </w:r>
      <w:r>
        <w:rPr>
          <w:rFonts w:ascii="Times New Roman" w:hAnsi="Times New Roman"/>
          <w:i/>
          <w:color w:val="333333"/>
          <w:sz w:val="24"/>
          <w:szCs w:val="24"/>
        </w:rPr>
        <w:t>Elena Apostol</w:t>
      </w:r>
      <w:r>
        <w:rPr>
          <w:rFonts w:ascii="Times New Roman" w:hAnsi="Times New Roman"/>
          <w:color w:val="333333"/>
          <w:sz w:val="24"/>
          <w:szCs w:val="24"/>
        </w:rPr>
        <w:t xml:space="preserve">, pct. 35). În cele din urmă, deși decizia de încetare a urmăririi penale, adoptată în 2015, a întârziat ancheta în discuție în cauza </w:t>
      </w:r>
      <w:r>
        <w:rPr>
          <w:rFonts w:ascii="Times New Roman" w:hAnsi="Times New Roman"/>
          <w:i/>
          <w:color w:val="333333"/>
          <w:sz w:val="24"/>
          <w:szCs w:val="24"/>
        </w:rPr>
        <w:t>Asociația „21 Decembrie 1989” și alții</w:t>
      </w:r>
      <w:r>
        <w:rPr>
          <w:rFonts w:ascii="Times New Roman" w:hAnsi="Times New Roman"/>
          <w:color w:val="333333"/>
          <w:sz w:val="24"/>
          <w:szCs w:val="24"/>
        </w:rPr>
        <w:t>, citată anterior, această evoluție a demonstrat, de asemenea, eficacitatea controlului ierarhic din cadrul Parchetului General și a controlului judecătoresc al anchetei efectuate de Parchetul European.</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În prezent, parchetul pare să fie aproape de încheierea anchetei cu privire la represiunea manifestațiilor din iunie 1990 (</w:t>
      </w:r>
      <w:r>
        <w:rPr>
          <w:rFonts w:ascii="Times New Roman" w:hAnsi="Times New Roman"/>
          <w:i/>
          <w:color w:val="333333"/>
          <w:sz w:val="24"/>
          <w:szCs w:val="24"/>
        </w:rPr>
        <w:t>Mocanu și alții</w:t>
      </w:r>
      <w:r>
        <w:rPr>
          <w:rFonts w:ascii="Times New Roman" w:hAnsi="Times New Roman"/>
          <w:color w:val="333333"/>
          <w:sz w:val="24"/>
          <w:szCs w:val="24"/>
        </w:rPr>
        <w:t xml:space="preserve">), ceea ce este încurajator. Pe de altă parte, stadiul anchetei privind represiunea manifestațiilor din decembrie 1989 rămâne un motiv de îngrijorare, dată fiind lipsa unor progrese decisive, după mai mult de cinci ani de la pronunțarea hotărârii în cauza </w:t>
      </w:r>
      <w:r>
        <w:rPr>
          <w:rFonts w:ascii="Times New Roman" w:hAnsi="Times New Roman"/>
          <w:i/>
          <w:color w:val="333333"/>
          <w:sz w:val="24"/>
          <w:szCs w:val="24"/>
        </w:rPr>
        <w:t>Asociația „21 Decembrie 1989” și alții</w:t>
      </w:r>
      <w:r>
        <w:rPr>
          <w:rFonts w:ascii="Times New Roman" w:hAnsi="Times New Roman"/>
          <w:color w:val="333333"/>
          <w:sz w:val="24"/>
          <w:szCs w:val="24"/>
        </w:rPr>
        <w:t>. Prin urmare, este esențial ca autoritățile să își intensifice eforturile pentru a încheia această anchetă, ținând seama de importanța pentru societatea românească de a cunoaște adevărul cu privire la aceste evenimente.</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u w:val="single"/>
        </w:rPr>
        <w:t xml:space="preserve">Ancheta privind decesul doamnei </w:t>
      </w:r>
      <w:proofErr w:type="spellStart"/>
      <w:r>
        <w:rPr>
          <w:rFonts w:ascii="Times New Roman" w:hAnsi="Times New Roman"/>
          <w:color w:val="333333"/>
          <w:sz w:val="24"/>
          <w:szCs w:val="24"/>
          <w:u w:val="single"/>
        </w:rPr>
        <w:t>Crăiniceanu</w:t>
      </w:r>
      <w:proofErr w:type="spellEnd"/>
      <w:r>
        <w:rPr>
          <w:rFonts w:ascii="Times New Roman" w:hAnsi="Times New Roman"/>
          <w:color w:val="333333"/>
          <w:sz w:val="24"/>
          <w:szCs w:val="24"/>
          <w:u w:val="single"/>
        </w:rPr>
        <w:t xml:space="preserve"> și domnului </w:t>
      </w:r>
      <w:proofErr w:type="spellStart"/>
      <w:r>
        <w:rPr>
          <w:rFonts w:ascii="Times New Roman" w:hAnsi="Times New Roman"/>
          <w:color w:val="333333"/>
          <w:sz w:val="24"/>
          <w:szCs w:val="24"/>
          <w:u w:val="single"/>
        </w:rPr>
        <w:t>Frumușanu</w:t>
      </w:r>
      <w:proofErr w:type="spellEnd"/>
      <w:r>
        <w:rPr>
          <w:rFonts w:ascii="Times New Roman" w:hAnsi="Times New Roman"/>
          <w:color w:val="333333"/>
          <w:sz w:val="24"/>
          <w:szCs w:val="24"/>
        </w:rPr>
        <w:t>: Și în cadrul acestei anchete, autoritățile au depus eforturi pentru a remedia, pe cât posibil, deficiențele care au afectat etapele anterioare ale acesteia. Procurorii au reușit să asigure cooperarea autorităților și organismelor care dețineau informații relevante pentru anchetă și participarea la anchetă a rudelor victimelor pare să fie asigurată în mod adecvat. Întrucât ancheta este încă în curs, este important ca autoritățile să își continue eforturile și să adopte imediat toate măsurile rezonabile pentru a clarifica circumstanțele decesului victimelor.</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2) </w:t>
      </w:r>
      <w:r>
        <w:rPr>
          <w:rFonts w:ascii="Times New Roman" w:hAnsi="Times New Roman"/>
          <w:i/>
          <w:iCs/>
          <w:color w:val="333333"/>
          <w:sz w:val="24"/>
          <w:szCs w:val="24"/>
        </w:rPr>
        <w:t>Încălcarea art. 8</w:t>
      </w:r>
      <w:r>
        <w:rPr>
          <w:rFonts w:ascii="Times New Roman" w:hAnsi="Times New Roman"/>
          <w:color w:val="333333"/>
          <w:sz w:val="24"/>
          <w:szCs w:val="24"/>
        </w:rPr>
        <w:t>: Având în vedere informațiile furnizate de autorități, nu pare să fie necesar să fie adoptate măsuri individuale în această privință.</w:t>
      </w:r>
    </w:p>
    <w:p w:rsidR="000C164F" w:rsidRPr="000C164F" w:rsidRDefault="000C164F" w:rsidP="000C164F">
      <w:pPr>
        <w:spacing w:before="100" w:beforeAutospacing="1" w:after="100" w:afterAutospacing="1" w:line="240" w:lineRule="auto"/>
        <w:ind w:left="135" w:hanging="360"/>
        <w:rPr>
          <w:rFonts w:ascii="Times New Roman" w:eastAsia="Times New Roman" w:hAnsi="Times New Roman" w:cs="Times New Roman"/>
          <w:color w:val="333333"/>
          <w:sz w:val="24"/>
          <w:szCs w:val="24"/>
        </w:rPr>
      </w:pPr>
      <w:r>
        <w:rPr>
          <w:rFonts w:ascii="Times New Roman" w:hAnsi="Times New Roman"/>
          <w:color w:val="333333"/>
          <w:sz w:val="24"/>
          <w:szCs w:val="24"/>
        </w:rPr>
        <w:t>–</w:t>
      </w:r>
      <w:r>
        <w:rPr>
          <w:rFonts w:ascii="Times New Roman" w:hAnsi="Times New Roman"/>
          <w:i/>
          <w:color w:val="333333"/>
          <w:sz w:val="24"/>
          <w:szCs w:val="24"/>
        </w:rPr>
        <w:t xml:space="preserve"> Cu privire la măsurile generale:</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Aspectele nesoluționate, care au fost evidențiate în cursul ultimei analize a Comitetului, par să fi fost rezolvate. Prin urmare, independența procurorilor militari pare să fi fost garantată în mod satisfăcător prin modificările aduse statutului lor în 2004. În plus, căile legale puse la dispoziția organelor de urmărire penală par să le permită acestora să depășească orice refuz de cooperare din partea organismelor care dețin elemente relevante pentru anchete. În cele din urmă, începând cu anul 2014, accesul procurorilor și judecătorilor la informații clasificate este garantat fără condiții prealabile.</w:t>
      </w:r>
    </w:p>
    <w:p w:rsidR="000C164F" w:rsidRPr="000C164F" w:rsidRDefault="000C164F" w:rsidP="000C164F">
      <w:pPr>
        <w:spacing w:before="100" w:beforeAutospacing="1" w:after="100" w:afterAutospacing="1" w:line="240" w:lineRule="auto"/>
        <w:ind w:right="-657"/>
        <w:rPr>
          <w:rFonts w:ascii="Times New Roman" w:eastAsia="Times New Roman" w:hAnsi="Times New Roman" w:cs="Times New Roman"/>
          <w:color w:val="333333"/>
          <w:sz w:val="24"/>
          <w:szCs w:val="24"/>
        </w:rPr>
      </w:pPr>
      <w:r>
        <w:rPr>
          <w:rFonts w:ascii="Times New Roman" w:hAnsi="Times New Roman"/>
          <w:color w:val="333333"/>
          <w:sz w:val="24"/>
          <w:szCs w:val="24"/>
        </w:rPr>
        <w:t>Având în vedere cele de mai sus și ținând seama de contextul special al anchetelor în discuție, nu pare să fie necesară adoptarea altor măsuri generale în aceste cauze.</w:t>
      </w:r>
    </w:p>
    <w:p w:rsidR="000C164F" w:rsidRPr="000C164F" w:rsidRDefault="000C164F" w:rsidP="000C164F">
      <w:pPr>
        <w:spacing w:after="0" w:line="240" w:lineRule="auto"/>
        <w:rPr>
          <w:rFonts w:ascii="Times New Roman" w:eastAsia="Times New Roman" w:hAnsi="Times New Roman" w:cs="Times New Roman"/>
          <w:color w:val="333333"/>
          <w:sz w:val="24"/>
          <w:szCs w:val="24"/>
        </w:rPr>
      </w:pPr>
    </w:p>
    <w:p w:rsidR="000C164F" w:rsidRPr="000C164F" w:rsidRDefault="00AB5495" w:rsidP="000C164F">
      <w:pPr>
        <w:spacing w:before="300" w:after="300"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pict>
          <v:rect id="_x0000_i1025" style="width:154.45pt;height:0" o:hrpct="330" o:hrstd="t" o:hr="t" fillcolor="#a0a0a0" stroked="f"/>
        </w:pict>
      </w:r>
    </w:p>
    <w:p w:rsidR="000C164F" w:rsidRPr="000C164F" w:rsidRDefault="00AB5495" w:rsidP="000C164F">
      <w:pPr>
        <w:spacing w:before="100" w:beforeAutospacing="1" w:after="100" w:afterAutospacing="1" w:line="240" w:lineRule="auto"/>
        <w:rPr>
          <w:rFonts w:ascii="Times New Roman" w:eastAsia="Times New Roman" w:hAnsi="Times New Roman" w:cs="Times New Roman"/>
          <w:color w:val="333333"/>
          <w:sz w:val="20"/>
          <w:szCs w:val="20"/>
        </w:rPr>
      </w:pPr>
      <w:hyperlink r:id="rId15" w:anchor="_ftnref1" w:history="1">
        <w:r w:rsidR="00863420">
          <w:rPr>
            <w:rFonts w:ascii="Times New Roman" w:hAnsi="Times New Roman"/>
            <w:color w:val="428BCA"/>
            <w:sz w:val="20"/>
            <w:szCs w:val="20"/>
          </w:rPr>
          <w:t>[1]</w:t>
        </w:r>
      </w:hyperlink>
      <w:r w:rsidR="00863420">
        <w:rPr>
          <w:rFonts w:ascii="Times New Roman" w:hAnsi="Times New Roman"/>
          <w:color w:val="333333"/>
          <w:sz w:val="20"/>
          <w:szCs w:val="20"/>
        </w:rPr>
        <w:t xml:space="preserve"> Măsurile generale care se impun ca răspuns la aceste constatări sunt examinate în hotărârea pronunțată în cauza </w:t>
      </w:r>
      <w:r w:rsidR="00863420">
        <w:rPr>
          <w:rFonts w:ascii="Times New Roman" w:hAnsi="Times New Roman"/>
          <w:i/>
          <w:iCs/>
          <w:color w:val="333333"/>
          <w:sz w:val="20"/>
          <w:szCs w:val="20"/>
        </w:rPr>
        <w:t>Bucur și Toma împotriva României</w:t>
      </w:r>
      <w:r w:rsidR="00863420">
        <w:rPr>
          <w:rFonts w:ascii="Times New Roman" w:hAnsi="Times New Roman"/>
          <w:color w:val="333333"/>
          <w:sz w:val="20"/>
          <w:szCs w:val="20"/>
        </w:rPr>
        <w:t>.</w:t>
      </w:r>
    </w:p>
    <w:p w:rsidR="000C164F" w:rsidRPr="000C164F" w:rsidRDefault="00AB5495" w:rsidP="000C164F">
      <w:pPr>
        <w:spacing w:before="100" w:beforeAutospacing="1" w:after="100" w:afterAutospacing="1" w:line="240" w:lineRule="auto"/>
        <w:rPr>
          <w:rFonts w:ascii="Times New Roman" w:eastAsia="Times New Roman" w:hAnsi="Times New Roman" w:cs="Times New Roman"/>
          <w:color w:val="333333"/>
          <w:sz w:val="20"/>
          <w:szCs w:val="20"/>
        </w:rPr>
      </w:pPr>
      <w:hyperlink r:id="rId16" w:anchor="_ftnref2" w:history="1">
        <w:r w:rsidR="00863420">
          <w:rPr>
            <w:rFonts w:ascii="Times New Roman" w:hAnsi="Times New Roman"/>
            <w:color w:val="428BCA"/>
            <w:sz w:val="20"/>
            <w:szCs w:val="20"/>
          </w:rPr>
          <w:t>[2]</w:t>
        </w:r>
      </w:hyperlink>
      <w:r w:rsidR="00863420">
        <w:rPr>
          <w:rFonts w:ascii="Times New Roman" w:hAnsi="Times New Roman"/>
          <w:color w:val="333333"/>
          <w:sz w:val="20"/>
          <w:szCs w:val="20"/>
        </w:rPr>
        <w:t xml:space="preserve"> Conform comunicatului de presă din 23 decembrie 2016, disponibil la adresa http://www.mpublic.ro.</w:t>
      </w:r>
    </w:p>
    <w:p w:rsidR="00E40793" w:rsidRPr="000C164F" w:rsidRDefault="00AB5495" w:rsidP="000C164F">
      <w:pPr>
        <w:spacing w:before="100" w:beforeAutospacing="1" w:after="100" w:afterAutospacing="1" w:line="240" w:lineRule="auto"/>
        <w:rPr>
          <w:rFonts w:ascii="Times New Roman" w:hAnsi="Times New Roman" w:cs="Times New Roman"/>
          <w:sz w:val="20"/>
          <w:szCs w:val="20"/>
        </w:rPr>
      </w:pPr>
      <w:hyperlink r:id="rId17" w:anchor="_ftnref3" w:history="1">
        <w:r w:rsidR="00863420">
          <w:rPr>
            <w:rFonts w:ascii="Times New Roman" w:hAnsi="Times New Roman"/>
            <w:color w:val="428BCA"/>
            <w:sz w:val="20"/>
            <w:szCs w:val="20"/>
          </w:rPr>
          <w:t>[3]</w:t>
        </w:r>
      </w:hyperlink>
      <w:r w:rsidR="00863420">
        <w:rPr>
          <w:rFonts w:ascii="Times New Roman" w:hAnsi="Times New Roman"/>
          <w:color w:val="333333"/>
          <w:sz w:val="20"/>
          <w:szCs w:val="20"/>
        </w:rPr>
        <w:t xml:space="preserve"> Comitetul a încheiat supravegherea executării hotărârilor din acest grup în luna iunie 2016 (</w:t>
      </w:r>
      <w:hyperlink r:id="rId18" w:tooltip="Resolution CM/ResDH(2016)150 - Execution of the judgments of the European Court of Human Rights Thirty six cases against Romania" w:history="1">
        <w:r w:rsidR="00863420">
          <w:rPr>
            <w:rFonts w:ascii="Times New Roman" w:hAnsi="Times New Roman"/>
            <w:color w:val="428BCA"/>
            <w:sz w:val="20"/>
            <w:szCs w:val="20"/>
          </w:rPr>
          <w:t>CM/</w:t>
        </w:r>
        <w:proofErr w:type="spellStart"/>
        <w:r w:rsidR="00863420">
          <w:rPr>
            <w:rFonts w:ascii="Times New Roman" w:hAnsi="Times New Roman"/>
            <w:color w:val="428BCA"/>
            <w:sz w:val="20"/>
            <w:szCs w:val="20"/>
          </w:rPr>
          <w:t>ResDH</w:t>
        </w:r>
        <w:proofErr w:type="spellEnd"/>
        <w:r w:rsidR="00863420">
          <w:rPr>
            <w:rFonts w:ascii="Times New Roman" w:hAnsi="Times New Roman"/>
            <w:color w:val="428BCA"/>
            <w:sz w:val="20"/>
            <w:szCs w:val="20"/>
          </w:rPr>
          <w:t>(2016)150</w:t>
        </w:r>
      </w:hyperlink>
      <w:r w:rsidR="00863420">
        <w:rPr>
          <w:rFonts w:ascii="Times New Roman" w:hAnsi="Times New Roman"/>
          <w:color w:val="333333"/>
          <w:sz w:val="20"/>
          <w:szCs w:val="20"/>
        </w:rPr>
        <w:t>).</w:t>
      </w:r>
    </w:p>
    <w:sectPr w:rsidR="00E40793" w:rsidRPr="000C16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AA2"/>
    <w:rsid w:val="000C164F"/>
    <w:rsid w:val="00136E5B"/>
    <w:rsid w:val="00195D18"/>
    <w:rsid w:val="00267E17"/>
    <w:rsid w:val="002B47AE"/>
    <w:rsid w:val="002F6C47"/>
    <w:rsid w:val="0032360D"/>
    <w:rsid w:val="00574E6E"/>
    <w:rsid w:val="00863420"/>
    <w:rsid w:val="00955AA2"/>
    <w:rsid w:val="00AB5495"/>
    <w:rsid w:val="00BC6830"/>
    <w:rsid w:val="00EF02CC"/>
    <w:rsid w:val="00FD5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3CE633F-F980-4580-84DC-8C001DF5B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C164F"/>
    <w:rPr>
      <w:b/>
      <w:bCs/>
    </w:rPr>
  </w:style>
  <w:style w:type="character" w:styleId="Emphasis">
    <w:name w:val="Emphasis"/>
    <w:basedOn w:val="DefaultParagraphFont"/>
    <w:uiPriority w:val="20"/>
    <w:qFormat/>
    <w:rsid w:val="000C164F"/>
    <w:rPr>
      <w:i/>
      <w:iCs/>
    </w:rPr>
  </w:style>
  <w:style w:type="character" w:customStyle="1" w:styleId="vsmall">
    <w:name w:val="vsmall"/>
    <w:basedOn w:val="DefaultParagraphFont"/>
    <w:rsid w:val="000C164F"/>
  </w:style>
  <w:style w:type="paragraph" w:customStyle="1" w:styleId="coelignes">
    <w:name w:val="coelignes"/>
    <w:basedOn w:val="Normal"/>
    <w:rsid w:val="000C164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C1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fbbfee58">
    <w:name w:val="sfbbfee58"/>
    <w:basedOn w:val="DefaultParagraphFont"/>
    <w:rsid w:val="000C164F"/>
  </w:style>
  <w:style w:type="character" w:customStyle="1" w:styleId="sb8d990e2">
    <w:name w:val="sb8d990e2"/>
    <w:basedOn w:val="DefaultParagraphFont"/>
    <w:rsid w:val="000C164F"/>
  </w:style>
  <w:style w:type="character" w:styleId="FootnoteReference">
    <w:name w:val="footnote reference"/>
    <w:basedOn w:val="DefaultParagraphFont"/>
    <w:uiPriority w:val="99"/>
    <w:semiHidden/>
    <w:unhideWhenUsed/>
    <w:rsid w:val="000C164F"/>
  </w:style>
  <w:style w:type="paragraph" w:styleId="FootnoteText">
    <w:name w:val="footnote text"/>
    <w:basedOn w:val="Normal"/>
    <w:link w:val="FootnoteTextChar"/>
    <w:uiPriority w:val="99"/>
    <w:semiHidden/>
    <w:unhideWhenUsed/>
    <w:rsid w:val="000C1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0C164F"/>
    <w:rPr>
      <w:rFonts w:ascii="Times New Roman" w:eastAsia="Times New Roman" w:hAnsi="Times New Roman" w:cs="Times New Roman"/>
      <w:sz w:val="24"/>
      <w:szCs w:val="24"/>
    </w:rPr>
  </w:style>
  <w:style w:type="paragraph" w:styleId="CommentText">
    <w:name w:val="annotation text"/>
    <w:basedOn w:val="Normal"/>
    <w:uiPriority w:val="99"/>
    <w:semiHidden/>
    <w:unhideWhenUsed/>
    <w:pPr>
      <w:spacing w:line="240" w:lineRule="auto"/>
    </w:pPr>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D56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56E1"/>
    <w:rPr>
      <w:rFonts w:ascii="Segoe UI" w:hAnsi="Segoe UI" w:cs="Segoe UI"/>
      <w:sz w:val="18"/>
      <w:szCs w:val="18"/>
    </w:rPr>
  </w:style>
  <w:style w:type="character" w:styleId="Hyperlink">
    <w:name w:val="Hyperlink"/>
    <w:basedOn w:val="DefaultParagraphFont"/>
    <w:uiPriority w:val="99"/>
    <w:unhideWhenUsed/>
    <w:rsid w:val="00FD56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356951">
      <w:bodyDiv w:val="1"/>
      <w:marLeft w:val="0"/>
      <w:marRight w:val="0"/>
      <w:marTop w:val="0"/>
      <w:marBottom w:val="0"/>
      <w:divBdr>
        <w:top w:val="none" w:sz="0" w:space="0" w:color="auto"/>
        <w:left w:val="none" w:sz="0" w:space="0" w:color="auto"/>
        <w:bottom w:val="none" w:sz="0" w:space="0" w:color="auto"/>
        <w:right w:val="none" w:sz="0" w:space="0" w:color="auto"/>
      </w:divBdr>
      <w:divsChild>
        <w:div w:id="871042630">
          <w:marLeft w:val="0"/>
          <w:marRight w:val="0"/>
          <w:marTop w:val="0"/>
          <w:marBottom w:val="0"/>
          <w:divBdr>
            <w:top w:val="none" w:sz="0" w:space="0" w:color="auto"/>
            <w:left w:val="none" w:sz="0" w:space="0" w:color="auto"/>
            <w:bottom w:val="none" w:sz="0" w:space="0" w:color="auto"/>
            <w:right w:val="none" w:sz="0" w:space="0" w:color="auto"/>
          </w:divBdr>
          <w:divsChild>
            <w:div w:id="491406589">
              <w:marLeft w:val="0"/>
              <w:marRight w:val="0"/>
              <w:marTop w:val="0"/>
              <w:marBottom w:val="0"/>
              <w:divBdr>
                <w:top w:val="none" w:sz="0" w:space="0" w:color="auto"/>
                <w:left w:val="none" w:sz="0" w:space="0" w:color="auto"/>
                <w:bottom w:val="none" w:sz="0" w:space="0" w:color="auto"/>
                <w:right w:val="none" w:sz="0" w:space="0" w:color="auto"/>
              </w:divBdr>
              <w:divsChild>
                <w:div w:id="20013594">
                  <w:marLeft w:val="0"/>
                  <w:marRight w:val="0"/>
                  <w:marTop w:val="0"/>
                  <w:marBottom w:val="0"/>
                  <w:divBdr>
                    <w:top w:val="none" w:sz="0" w:space="0" w:color="auto"/>
                    <w:left w:val="none" w:sz="0" w:space="0" w:color="auto"/>
                    <w:bottom w:val="none" w:sz="0" w:space="0" w:color="auto"/>
                    <w:right w:val="none" w:sz="0" w:space="0" w:color="auto"/>
                  </w:divBdr>
                  <w:divsChild>
                    <w:div w:id="1664242464">
                      <w:marLeft w:val="0"/>
                      <w:marRight w:val="0"/>
                      <w:marTop w:val="0"/>
                      <w:marBottom w:val="0"/>
                      <w:divBdr>
                        <w:top w:val="none" w:sz="0" w:space="0" w:color="auto"/>
                        <w:left w:val="none" w:sz="0" w:space="0" w:color="auto"/>
                        <w:bottom w:val="none" w:sz="0" w:space="0" w:color="auto"/>
                        <w:right w:val="none" w:sz="0" w:space="0" w:color="auto"/>
                      </w:divBdr>
                      <w:divsChild>
                        <w:div w:id="529490570">
                          <w:marLeft w:val="0"/>
                          <w:marRight w:val="0"/>
                          <w:marTop w:val="0"/>
                          <w:marBottom w:val="0"/>
                          <w:divBdr>
                            <w:top w:val="none" w:sz="0" w:space="0" w:color="auto"/>
                            <w:left w:val="none" w:sz="0" w:space="0" w:color="auto"/>
                            <w:bottom w:val="none" w:sz="0" w:space="0" w:color="auto"/>
                            <w:right w:val="none" w:sz="0" w:space="0" w:color="auto"/>
                          </w:divBdr>
                          <w:divsChild>
                            <w:div w:id="49424224">
                              <w:marLeft w:val="0"/>
                              <w:marRight w:val="0"/>
                              <w:marTop w:val="0"/>
                              <w:marBottom w:val="0"/>
                              <w:divBdr>
                                <w:top w:val="none" w:sz="0" w:space="0" w:color="auto"/>
                                <w:left w:val="none" w:sz="0" w:space="0" w:color="auto"/>
                                <w:bottom w:val="none" w:sz="0" w:space="0" w:color="auto"/>
                                <w:right w:val="none" w:sz="0" w:space="0" w:color="auto"/>
                              </w:divBdr>
                              <w:divsChild>
                                <w:div w:id="176388988">
                                  <w:marLeft w:val="-225"/>
                                  <w:marRight w:val="-225"/>
                                  <w:marTop w:val="0"/>
                                  <w:marBottom w:val="0"/>
                                  <w:divBdr>
                                    <w:top w:val="none" w:sz="0" w:space="0" w:color="auto"/>
                                    <w:left w:val="none" w:sz="0" w:space="0" w:color="auto"/>
                                    <w:bottom w:val="none" w:sz="0" w:space="0" w:color="auto"/>
                                    <w:right w:val="none" w:sz="0" w:space="0" w:color="auto"/>
                                  </w:divBdr>
                                  <w:divsChild>
                                    <w:div w:id="2020350551">
                                      <w:marLeft w:val="0"/>
                                      <w:marRight w:val="0"/>
                                      <w:marTop w:val="0"/>
                                      <w:marBottom w:val="0"/>
                                      <w:divBdr>
                                        <w:top w:val="none" w:sz="0" w:space="0" w:color="auto"/>
                                        <w:left w:val="none" w:sz="0" w:space="0" w:color="auto"/>
                                        <w:bottom w:val="none" w:sz="0" w:space="0" w:color="auto"/>
                                        <w:right w:val="none" w:sz="0" w:space="0" w:color="auto"/>
                                      </w:divBdr>
                                      <w:divsChild>
                                        <w:div w:id="1577395532">
                                          <w:marLeft w:val="0"/>
                                          <w:marRight w:val="0"/>
                                          <w:marTop w:val="0"/>
                                          <w:marBottom w:val="0"/>
                                          <w:divBdr>
                                            <w:top w:val="none" w:sz="0" w:space="0" w:color="auto"/>
                                            <w:left w:val="none" w:sz="0" w:space="0" w:color="auto"/>
                                            <w:bottom w:val="none" w:sz="0" w:space="0" w:color="auto"/>
                                            <w:right w:val="none" w:sz="0" w:space="0" w:color="auto"/>
                                          </w:divBdr>
                                          <w:divsChild>
                                            <w:div w:id="214779428">
                                              <w:marLeft w:val="0"/>
                                              <w:marRight w:val="0"/>
                                              <w:marTop w:val="0"/>
                                              <w:marBottom w:val="0"/>
                                              <w:divBdr>
                                                <w:top w:val="single" w:sz="6" w:space="0" w:color="EEEEEE"/>
                                                <w:left w:val="single" w:sz="6" w:space="0" w:color="EEEEEE"/>
                                                <w:bottom w:val="single" w:sz="6" w:space="0" w:color="EEEEEE"/>
                                                <w:right w:val="single" w:sz="6" w:space="0" w:color="EEEEEE"/>
                                              </w:divBdr>
                                              <w:divsChild>
                                                <w:div w:id="720905409">
                                                  <w:marLeft w:val="0"/>
                                                  <w:marRight w:val="0"/>
                                                  <w:marTop w:val="0"/>
                                                  <w:marBottom w:val="0"/>
                                                  <w:divBdr>
                                                    <w:top w:val="none" w:sz="0" w:space="0" w:color="auto"/>
                                                    <w:left w:val="none" w:sz="0" w:space="0" w:color="auto"/>
                                                    <w:bottom w:val="none" w:sz="0" w:space="0" w:color="auto"/>
                                                    <w:right w:val="none" w:sz="0" w:space="0" w:color="auto"/>
                                                  </w:divBdr>
                                                  <w:divsChild>
                                                    <w:div w:id="876165071">
                                                      <w:marLeft w:val="0"/>
                                                      <w:marRight w:val="0"/>
                                                      <w:marTop w:val="0"/>
                                                      <w:marBottom w:val="0"/>
                                                      <w:divBdr>
                                                        <w:top w:val="none" w:sz="0" w:space="0" w:color="auto"/>
                                                        <w:left w:val="none" w:sz="0" w:space="0" w:color="auto"/>
                                                        <w:bottom w:val="none" w:sz="0" w:space="0" w:color="auto"/>
                                                        <w:right w:val="none" w:sz="0" w:space="0" w:color="auto"/>
                                                      </w:divBdr>
                                                      <w:divsChild>
                                                        <w:div w:id="273368814">
                                                          <w:marLeft w:val="0"/>
                                                          <w:marRight w:val="0"/>
                                                          <w:marTop w:val="0"/>
                                                          <w:marBottom w:val="0"/>
                                                          <w:divBdr>
                                                            <w:top w:val="none" w:sz="0" w:space="0" w:color="auto"/>
                                                            <w:left w:val="none" w:sz="0" w:space="0" w:color="auto"/>
                                                            <w:bottom w:val="none" w:sz="0" w:space="0" w:color="auto"/>
                                                            <w:right w:val="none" w:sz="0" w:space="0" w:color="auto"/>
                                                          </w:divBdr>
                                                          <w:divsChild>
                                                            <w:div w:id="232084957">
                                                              <w:marLeft w:val="0"/>
                                                              <w:marRight w:val="0"/>
                                                              <w:marTop w:val="0"/>
                                                              <w:marBottom w:val="0"/>
                                                              <w:divBdr>
                                                                <w:top w:val="none" w:sz="0" w:space="0" w:color="auto"/>
                                                                <w:left w:val="none" w:sz="0" w:space="0" w:color="auto"/>
                                                                <w:bottom w:val="none" w:sz="0" w:space="0" w:color="auto"/>
                                                                <w:right w:val="none" w:sz="0" w:space="0" w:color="auto"/>
                                                              </w:divBdr>
                                                              <w:divsChild>
                                                                <w:div w:id="735323556">
                                                                  <w:marLeft w:val="0"/>
                                                                  <w:marRight w:val="0"/>
                                                                  <w:marTop w:val="0"/>
                                                                  <w:marBottom w:val="0"/>
                                                                  <w:divBdr>
                                                                    <w:top w:val="none" w:sz="0" w:space="0" w:color="auto"/>
                                                                    <w:left w:val="none" w:sz="0" w:space="0" w:color="auto"/>
                                                                    <w:bottom w:val="none" w:sz="0" w:space="0" w:color="auto"/>
                                                                    <w:right w:val="none" w:sz="0" w:space="0" w:color="auto"/>
                                                                  </w:divBdr>
                                                                  <w:divsChild>
                                                                    <w:div w:id="1042292666">
                                                                      <w:marLeft w:val="0"/>
                                                                      <w:marRight w:val="0"/>
                                                                      <w:marTop w:val="0"/>
                                                                      <w:marBottom w:val="0"/>
                                                                      <w:divBdr>
                                                                        <w:top w:val="none" w:sz="0" w:space="0" w:color="auto"/>
                                                                        <w:left w:val="none" w:sz="0" w:space="0" w:color="auto"/>
                                                                        <w:bottom w:val="none" w:sz="0" w:space="0" w:color="auto"/>
                                                                        <w:right w:val="none" w:sz="0" w:space="0" w:color="auto"/>
                                                                      </w:divBdr>
                                                                      <w:divsChild>
                                                                        <w:div w:id="1940327356">
                                                                          <w:marLeft w:val="0"/>
                                                                          <w:marRight w:val="0"/>
                                                                          <w:marTop w:val="0"/>
                                                                          <w:marBottom w:val="0"/>
                                                                          <w:divBdr>
                                                                            <w:top w:val="none" w:sz="0" w:space="0" w:color="auto"/>
                                                                            <w:left w:val="none" w:sz="0" w:space="0" w:color="auto"/>
                                                                            <w:bottom w:val="none" w:sz="0" w:space="0" w:color="auto"/>
                                                                            <w:right w:val="none" w:sz="0" w:space="0" w:color="auto"/>
                                                                          </w:divBdr>
                                                                          <w:divsChild>
                                                                            <w:div w:id="208567624">
                                                                              <w:marLeft w:val="0"/>
                                                                              <w:marRight w:val="0"/>
                                                                              <w:marTop w:val="0"/>
                                                                              <w:marBottom w:val="0"/>
                                                                              <w:divBdr>
                                                                                <w:top w:val="none" w:sz="0" w:space="0" w:color="auto"/>
                                                                                <w:left w:val="none" w:sz="0" w:space="0" w:color="auto"/>
                                                                                <w:bottom w:val="none" w:sz="0" w:space="0" w:color="auto"/>
                                                                                <w:right w:val="none" w:sz="0" w:space="0" w:color="auto"/>
                                                                              </w:divBdr>
                                                                            </w:div>
                                                                            <w:div w:id="1527906474">
                                                                              <w:marLeft w:val="0"/>
                                                                              <w:marRight w:val="0"/>
                                                                              <w:marTop w:val="0"/>
                                                                              <w:marBottom w:val="0"/>
                                                                              <w:divBdr>
                                                                                <w:top w:val="none" w:sz="0" w:space="0" w:color="auto"/>
                                                                                <w:left w:val="none" w:sz="0" w:space="0" w:color="auto"/>
                                                                                <w:bottom w:val="none" w:sz="0" w:space="0" w:color="auto"/>
                                                                                <w:right w:val="none" w:sz="0" w:space="0" w:color="auto"/>
                                                                              </w:divBdr>
                                                                              <w:divsChild>
                                                                                <w:div w:id="1309283235">
                                                                                  <w:marLeft w:val="0"/>
                                                                                  <w:marRight w:val="0"/>
                                                                                  <w:marTop w:val="0"/>
                                                                                  <w:marBottom w:val="0"/>
                                                                                  <w:divBdr>
                                                                                    <w:top w:val="none" w:sz="0" w:space="0" w:color="auto"/>
                                                                                    <w:left w:val="none" w:sz="0" w:space="0" w:color="auto"/>
                                                                                    <w:bottom w:val="none" w:sz="0" w:space="0" w:color="auto"/>
                                                                                    <w:right w:val="none" w:sz="0" w:space="0" w:color="auto"/>
                                                                                  </w:divBdr>
                                                                                  <w:divsChild>
                                                                                    <w:div w:id="1003165808">
                                                                                      <w:marLeft w:val="0"/>
                                                                                      <w:marRight w:val="0"/>
                                                                                      <w:marTop w:val="0"/>
                                                                                      <w:marBottom w:val="0"/>
                                                                                      <w:divBdr>
                                                                                        <w:top w:val="none" w:sz="0" w:space="0" w:color="auto"/>
                                                                                        <w:left w:val="none" w:sz="0" w:space="0" w:color="auto"/>
                                                                                        <w:bottom w:val="none" w:sz="0" w:space="0" w:color="auto"/>
                                                                                        <w:right w:val="none" w:sz="0" w:space="0" w:color="auto"/>
                                                                                      </w:divBdr>
                                                                                    </w:div>
                                                                                    <w:div w:id="1324626352">
                                                                                      <w:marLeft w:val="0"/>
                                                                                      <w:marRight w:val="0"/>
                                                                                      <w:marTop w:val="0"/>
                                                                                      <w:marBottom w:val="0"/>
                                                                                      <w:divBdr>
                                                                                        <w:top w:val="none" w:sz="0" w:space="0" w:color="auto"/>
                                                                                        <w:left w:val="none" w:sz="0" w:space="0" w:color="auto"/>
                                                                                        <w:bottom w:val="none" w:sz="0" w:space="0" w:color="auto"/>
                                                                                        <w:right w:val="none" w:sz="0" w:space="0" w:color="auto"/>
                                                                                      </w:divBdr>
                                                                                      <w:divsChild>
                                                                                        <w:div w:id="84546134">
                                                                                          <w:marLeft w:val="0"/>
                                                                                          <w:marRight w:val="0"/>
                                                                                          <w:marTop w:val="0"/>
                                                                                          <w:marBottom w:val="0"/>
                                                                                          <w:divBdr>
                                                                                            <w:top w:val="none" w:sz="0" w:space="0" w:color="auto"/>
                                                                                            <w:left w:val="none" w:sz="0" w:space="0" w:color="auto"/>
                                                                                            <w:bottom w:val="none" w:sz="0" w:space="0" w:color="auto"/>
                                                                                            <w:right w:val="none" w:sz="0" w:space="0" w:color="auto"/>
                                                                                          </w:divBdr>
                                                                                        </w:div>
                                                                                        <w:div w:id="2130586899">
                                                                                          <w:marLeft w:val="0"/>
                                                                                          <w:marRight w:val="0"/>
                                                                                          <w:marTop w:val="0"/>
                                                                                          <w:marBottom w:val="0"/>
                                                                                          <w:divBdr>
                                                                                            <w:top w:val="none" w:sz="0" w:space="0" w:color="auto"/>
                                                                                            <w:left w:val="none" w:sz="0" w:space="0" w:color="auto"/>
                                                                                            <w:bottom w:val="none" w:sz="0" w:space="0" w:color="auto"/>
                                                                                            <w:right w:val="none" w:sz="0" w:space="0" w:color="auto"/>
                                                                                          </w:divBdr>
                                                                                        </w:div>
                                                                                        <w:div w:id="9014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3696430">
      <w:bodyDiv w:val="1"/>
      <w:marLeft w:val="0"/>
      <w:marRight w:val="0"/>
      <w:marTop w:val="0"/>
      <w:marBottom w:val="0"/>
      <w:divBdr>
        <w:top w:val="none" w:sz="0" w:space="0" w:color="auto"/>
        <w:left w:val="none" w:sz="0" w:space="0" w:color="auto"/>
        <w:bottom w:val="none" w:sz="0" w:space="0" w:color="auto"/>
        <w:right w:val="none" w:sz="0" w:space="0" w:color="auto"/>
      </w:divBdr>
      <w:divsChild>
        <w:div w:id="258414376">
          <w:marLeft w:val="0"/>
          <w:marRight w:val="0"/>
          <w:marTop w:val="0"/>
          <w:marBottom w:val="0"/>
          <w:divBdr>
            <w:top w:val="none" w:sz="0" w:space="0" w:color="auto"/>
            <w:left w:val="none" w:sz="0" w:space="0" w:color="auto"/>
            <w:bottom w:val="none" w:sz="0" w:space="0" w:color="auto"/>
            <w:right w:val="none" w:sz="0" w:space="0" w:color="auto"/>
          </w:divBdr>
          <w:divsChild>
            <w:div w:id="1051152090">
              <w:marLeft w:val="0"/>
              <w:marRight w:val="0"/>
              <w:marTop w:val="0"/>
              <w:marBottom w:val="0"/>
              <w:divBdr>
                <w:top w:val="none" w:sz="0" w:space="0" w:color="auto"/>
                <w:left w:val="none" w:sz="0" w:space="0" w:color="auto"/>
                <w:bottom w:val="none" w:sz="0" w:space="0" w:color="auto"/>
                <w:right w:val="none" w:sz="0" w:space="0" w:color="auto"/>
              </w:divBdr>
              <w:divsChild>
                <w:div w:id="649020482">
                  <w:marLeft w:val="0"/>
                  <w:marRight w:val="0"/>
                  <w:marTop w:val="0"/>
                  <w:marBottom w:val="0"/>
                  <w:divBdr>
                    <w:top w:val="none" w:sz="0" w:space="0" w:color="auto"/>
                    <w:left w:val="none" w:sz="0" w:space="0" w:color="auto"/>
                    <w:bottom w:val="none" w:sz="0" w:space="0" w:color="auto"/>
                    <w:right w:val="none" w:sz="0" w:space="0" w:color="auto"/>
                  </w:divBdr>
                  <w:divsChild>
                    <w:div w:id="255943221">
                      <w:marLeft w:val="0"/>
                      <w:marRight w:val="0"/>
                      <w:marTop w:val="0"/>
                      <w:marBottom w:val="0"/>
                      <w:divBdr>
                        <w:top w:val="none" w:sz="0" w:space="0" w:color="auto"/>
                        <w:left w:val="none" w:sz="0" w:space="0" w:color="auto"/>
                        <w:bottom w:val="none" w:sz="0" w:space="0" w:color="auto"/>
                        <w:right w:val="none" w:sz="0" w:space="0" w:color="auto"/>
                      </w:divBdr>
                      <w:divsChild>
                        <w:div w:id="2133163754">
                          <w:marLeft w:val="0"/>
                          <w:marRight w:val="0"/>
                          <w:marTop w:val="0"/>
                          <w:marBottom w:val="0"/>
                          <w:divBdr>
                            <w:top w:val="none" w:sz="0" w:space="0" w:color="auto"/>
                            <w:left w:val="none" w:sz="0" w:space="0" w:color="auto"/>
                            <w:bottom w:val="none" w:sz="0" w:space="0" w:color="auto"/>
                            <w:right w:val="none" w:sz="0" w:space="0" w:color="auto"/>
                          </w:divBdr>
                          <w:divsChild>
                            <w:div w:id="1492673449">
                              <w:marLeft w:val="0"/>
                              <w:marRight w:val="0"/>
                              <w:marTop w:val="0"/>
                              <w:marBottom w:val="0"/>
                              <w:divBdr>
                                <w:top w:val="none" w:sz="0" w:space="0" w:color="auto"/>
                                <w:left w:val="none" w:sz="0" w:space="0" w:color="auto"/>
                                <w:bottom w:val="none" w:sz="0" w:space="0" w:color="auto"/>
                                <w:right w:val="none" w:sz="0" w:space="0" w:color="auto"/>
                              </w:divBdr>
                              <w:divsChild>
                                <w:div w:id="1695811740">
                                  <w:marLeft w:val="-225"/>
                                  <w:marRight w:val="-225"/>
                                  <w:marTop w:val="0"/>
                                  <w:marBottom w:val="0"/>
                                  <w:divBdr>
                                    <w:top w:val="none" w:sz="0" w:space="0" w:color="auto"/>
                                    <w:left w:val="none" w:sz="0" w:space="0" w:color="auto"/>
                                    <w:bottom w:val="none" w:sz="0" w:space="0" w:color="auto"/>
                                    <w:right w:val="none" w:sz="0" w:space="0" w:color="auto"/>
                                  </w:divBdr>
                                  <w:divsChild>
                                    <w:div w:id="1770736344">
                                      <w:marLeft w:val="0"/>
                                      <w:marRight w:val="0"/>
                                      <w:marTop w:val="0"/>
                                      <w:marBottom w:val="0"/>
                                      <w:divBdr>
                                        <w:top w:val="none" w:sz="0" w:space="0" w:color="auto"/>
                                        <w:left w:val="none" w:sz="0" w:space="0" w:color="auto"/>
                                        <w:bottom w:val="none" w:sz="0" w:space="0" w:color="auto"/>
                                        <w:right w:val="none" w:sz="0" w:space="0" w:color="auto"/>
                                      </w:divBdr>
                                      <w:divsChild>
                                        <w:div w:id="47389093">
                                          <w:marLeft w:val="0"/>
                                          <w:marRight w:val="0"/>
                                          <w:marTop w:val="0"/>
                                          <w:marBottom w:val="0"/>
                                          <w:divBdr>
                                            <w:top w:val="none" w:sz="0" w:space="0" w:color="auto"/>
                                            <w:left w:val="none" w:sz="0" w:space="0" w:color="auto"/>
                                            <w:bottom w:val="none" w:sz="0" w:space="0" w:color="auto"/>
                                            <w:right w:val="none" w:sz="0" w:space="0" w:color="auto"/>
                                          </w:divBdr>
                                          <w:divsChild>
                                            <w:div w:id="1110127192">
                                              <w:marLeft w:val="0"/>
                                              <w:marRight w:val="0"/>
                                              <w:marTop w:val="0"/>
                                              <w:marBottom w:val="0"/>
                                              <w:divBdr>
                                                <w:top w:val="single" w:sz="6" w:space="0" w:color="EEEEEE"/>
                                                <w:left w:val="single" w:sz="6" w:space="0" w:color="EEEEEE"/>
                                                <w:bottom w:val="single" w:sz="6" w:space="0" w:color="EEEEEE"/>
                                                <w:right w:val="single" w:sz="6" w:space="0" w:color="EEEEEE"/>
                                              </w:divBdr>
                                              <w:divsChild>
                                                <w:div w:id="1219822987">
                                                  <w:marLeft w:val="0"/>
                                                  <w:marRight w:val="0"/>
                                                  <w:marTop w:val="0"/>
                                                  <w:marBottom w:val="0"/>
                                                  <w:divBdr>
                                                    <w:top w:val="none" w:sz="0" w:space="0" w:color="auto"/>
                                                    <w:left w:val="none" w:sz="0" w:space="0" w:color="auto"/>
                                                    <w:bottom w:val="none" w:sz="0" w:space="0" w:color="auto"/>
                                                    <w:right w:val="none" w:sz="0" w:space="0" w:color="auto"/>
                                                  </w:divBdr>
                                                  <w:divsChild>
                                                    <w:div w:id="1044716644">
                                                      <w:marLeft w:val="0"/>
                                                      <w:marRight w:val="0"/>
                                                      <w:marTop w:val="0"/>
                                                      <w:marBottom w:val="0"/>
                                                      <w:divBdr>
                                                        <w:top w:val="none" w:sz="0" w:space="0" w:color="auto"/>
                                                        <w:left w:val="none" w:sz="0" w:space="0" w:color="auto"/>
                                                        <w:bottom w:val="none" w:sz="0" w:space="0" w:color="auto"/>
                                                        <w:right w:val="none" w:sz="0" w:space="0" w:color="auto"/>
                                                      </w:divBdr>
                                                      <w:divsChild>
                                                        <w:div w:id="176627005">
                                                          <w:marLeft w:val="0"/>
                                                          <w:marRight w:val="0"/>
                                                          <w:marTop w:val="0"/>
                                                          <w:marBottom w:val="0"/>
                                                          <w:divBdr>
                                                            <w:top w:val="none" w:sz="0" w:space="0" w:color="auto"/>
                                                            <w:left w:val="none" w:sz="0" w:space="0" w:color="auto"/>
                                                            <w:bottom w:val="none" w:sz="0" w:space="0" w:color="auto"/>
                                                            <w:right w:val="none" w:sz="0" w:space="0" w:color="auto"/>
                                                          </w:divBdr>
                                                          <w:divsChild>
                                                            <w:div w:id="188491258">
                                                              <w:marLeft w:val="0"/>
                                                              <w:marRight w:val="0"/>
                                                              <w:marTop w:val="0"/>
                                                              <w:marBottom w:val="0"/>
                                                              <w:divBdr>
                                                                <w:top w:val="none" w:sz="0" w:space="0" w:color="auto"/>
                                                                <w:left w:val="none" w:sz="0" w:space="0" w:color="auto"/>
                                                                <w:bottom w:val="none" w:sz="0" w:space="0" w:color="auto"/>
                                                                <w:right w:val="none" w:sz="0" w:space="0" w:color="auto"/>
                                                              </w:divBdr>
                                                              <w:divsChild>
                                                                <w:div w:id="2106268888">
                                                                  <w:marLeft w:val="0"/>
                                                                  <w:marRight w:val="0"/>
                                                                  <w:marTop w:val="0"/>
                                                                  <w:marBottom w:val="0"/>
                                                                  <w:divBdr>
                                                                    <w:top w:val="none" w:sz="0" w:space="0" w:color="auto"/>
                                                                    <w:left w:val="none" w:sz="0" w:space="0" w:color="auto"/>
                                                                    <w:bottom w:val="none" w:sz="0" w:space="0" w:color="auto"/>
                                                                    <w:right w:val="none" w:sz="0" w:space="0" w:color="auto"/>
                                                                  </w:divBdr>
                                                                  <w:divsChild>
                                                                    <w:div w:id="876350665">
                                                                      <w:marLeft w:val="0"/>
                                                                      <w:marRight w:val="0"/>
                                                                      <w:marTop w:val="0"/>
                                                                      <w:marBottom w:val="0"/>
                                                                      <w:divBdr>
                                                                        <w:top w:val="none" w:sz="0" w:space="0" w:color="auto"/>
                                                                        <w:left w:val="none" w:sz="0" w:space="0" w:color="auto"/>
                                                                        <w:bottom w:val="none" w:sz="0" w:space="0" w:color="auto"/>
                                                                        <w:right w:val="none" w:sz="0" w:space="0" w:color="auto"/>
                                                                      </w:divBdr>
                                                                      <w:divsChild>
                                                                        <w:div w:id="2019886285">
                                                                          <w:marLeft w:val="0"/>
                                                                          <w:marRight w:val="0"/>
                                                                          <w:marTop w:val="0"/>
                                                                          <w:marBottom w:val="0"/>
                                                                          <w:divBdr>
                                                                            <w:top w:val="none" w:sz="0" w:space="0" w:color="auto"/>
                                                                            <w:left w:val="none" w:sz="0" w:space="0" w:color="auto"/>
                                                                            <w:bottom w:val="none" w:sz="0" w:space="0" w:color="auto"/>
                                                                            <w:right w:val="none" w:sz="0" w:space="0" w:color="auto"/>
                                                                          </w:divBdr>
                                                                          <w:divsChild>
                                                                            <w:div w:id="2027360853">
                                                                              <w:marLeft w:val="0"/>
                                                                              <w:marRight w:val="0"/>
                                                                              <w:marTop w:val="0"/>
                                                                              <w:marBottom w:val="0"/>
                                                                              <w:divBdr>
                                                                                <w:top w:val="none" w:sz="0" w:space="0" w:color="auto"/>
                                                                                <w:left w:val="none" w:sz="0" w:space="0" w:color="auto"/>
                                                                                <w:bottom w:val="none" w:sz="0" w:space="0" w:color="auto"/>
                                                                                <w:right w:val="none" w:sz="0" w:space="0" w:color="auto"/>
                                                                              </w:divBdr>
                                                                            </w:div>
                                                                            <w:div w:id="1497962717">
                                                                              <w:marLeft w:val="0"/>
                                                                              <w:marRight w:val="0"/>
                                                                              <w:marTop w:val="0"/>
                                                                              <w:marBottom w:val="0"/>
                                                                              <w:divBdr>
                                                                                <w:top w:val="none" w:sz="0" w:space="0" w:color="auto"/>
                                                                                <w:left w:val="none" w:sz="0" w:space="0" w:color="auto"/>
                                                                                <w:bottom w:val="none" w:sz="0" w:space="0" w:color="auto"/>
                                                                                <w:right w:val="none" w:sz="0" w:space="0" w:color="auto"/>
                                                                              </w:divBdr>
                                                                              <w:divsChild>
                                                                                <w:div w:id="445275085">
                                                                                  <w:marLeft w:val="0"/>
                                                                                  <w:marRight w:val="0"/>
                                                                                  <w:marTop w:val="0"/>
                                                                                  <w:marBottom w:val="0"/>
                                                                                  <w:divBdr>
                                                                                    <w:top w:val="none" w:sz="0" w:space="0" w:color="auto"/>
                                                                                    <w:left w:val="none" w:sz="0" w:space="0" w:color="auto"/>
                                                                                    <w:bottom w:val="none" w:sz="0" w:space="0" w:color="auto"/>
                                                                                    <w:right w:val="none" w:sz="0" w:space="0" w:color="auto"/>
                                                                                  </w:divBdr>
                                                                                  <w:divsChild>
                                                                                    <w:div w:id="76029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coe.int/cm/Pages/result_details.aspx?ObjectID=090000168070eb98" TargetMode="External"/><Relationship Id="rId13" Type="http://schemas.openxmlformats.org/officeDocument/2006/relationships/hyperlink" Target="https://search.coe.int/cm/Pages/result_details.aspx?Reference=DH-DD(2014)498" TargetMode="External"/><Relationship Id="rId18" Type="http://schemas.openxmlformats.org/officeDocument/2006/relationships/hyperlink" Target="https://search.coe.int/cm/Pages/result_details.aspx?Reference=CM/ResDH(2016)150" TargetMode="External"/><Relationship Id="rId3" Type="http://schemas.openxmlformats.org/officeDocument/2006/relationships/webSettings" Target="webSettings.xml"/><Relationship Id="rId7" Type="http://schemas.openxmlformats.org/officeDocument/2006/relationships/hyperlink" Target="https://search.coe.int/cm/Pages/result_details.aspx?Reference=CM/Del/Dec(2014)1201/14" TargetMode="External"/><Relationship Id="rId12" Type="http://schemas.openxmlformats.org/officeDocument/2006/relationships/hyperlink" Target="https://search.coe.int/cm/Pages/result_details.aspx?Reference=DH-DD(2017)366-rev" TargetMode="External"/><Relationship Id="rId17" Type="http://schemas.openxmlformats.org/officeDocument/2006/relationships/hyperlink" Target="https://search.coe.int/cm/Pages/result_details.aspx?ObjectID=090000168070eb98" TargetMode="External"/><Relationship Id="rId2" Type="http://schemas.openxmlformats.org/officeDocument/2006/relationships/settings" Target="settings.xml"/><Relationship Id="rId16" Type="http://schemas.openxmlformats.org/officeDocument/2006/relationships/hyperlink" Target="https://search.coe.int/cm/Pages/result_details.aspx?ObjectID=090000168070eb98"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earch.coe.int/cm/Pages/result_details.aspx?Reference=DH-DD(2017)366-rev" TargetMode="External"/><Relationship Id="rId11" Type="http://schemas.openxmlformats.org/officeDocument/2006/relationships/hyperlink" Target="https://search.coe.int/cm/Pages/result_details.aspx?ObjectID=090000168070eb98" TargetMode="External"/><Relationship Id="rId5" Type="http://schemas.openxmlformats.org/officeDocument/2006/relationships/hyperlink" Target="https://search.coe.int/cm/Pages/result_details.aspx?Reference=CM/Notes/1288/H46-22" TargetMode="External"/><Relationship Id="rId15" Type="http://schemas.openxmlformats.org/officeDocument/2006/relationships/hyperlink" Target="https://search.coe.int/cm/Pages/result_details.aspx?ObjectID=090000168070eb98" TargetMode="External"/><Relationship Id="rId10" Type="http://schemas.openxmlformats.org/officeDocument/2006/relationships/hyperlink" Target="https://search.coe.int/cm/Pages/result_details.aspx?Reference=DH-DD(2017)366-rev" TargetMode="External"/><Relationship Id="rId19" Type="http://schemas.openxmlformats.org/officeDocument/2006/relationships/fontTable" Target="fontTable.xml"/><Relationship Id="rId4" Type="http://schemas.openxmlformats.org/officeDocument/2006/relationships/hyperlink" Target="http://www.ier.ro" TargetMode="External"/><Relationship Id="rId9" Type="http://schemas.openxmlformats.org/officeDocument/2006/relationships/hyperlink" Target="https://search.coe.int/cm/Pages/result_details.aspx?Reference=DH-DD(2017)366-rev" TargetMode="External"/><Relationship Id="rId14" Type="http://schemas.openxmlformats.org/officeDocument/2006/relationships/hyperlink" Target="https://search.coe.int/cm/Pages/result_details.aspx?ObjectID=090000168070eb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3062</Words>
  <Characters>17762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Catrinel Brumar</dc:creator>
  <cp:lastModifiedBy>Daniela Radulescu</cp:lastModifiedBy>
  <cp:revision>4</cp:revision>
  <dcterms:created xsi:type="dcterms:W3CDTF">2017-11-27T07:55:00Z</dcterms:created>
  <dcterms:modified xsi:type="dcterms:W3CDTF">2017-12-07T14:07:00Z</dcterms:modified>
</cp:coreProperties>
</file>